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8" w:lineRule="exact"/>
        <w:jc w:val="both"/>
        <w:textAlignment w:val="auto"/>
        <w:rPr>
          <w:rFonts w:hint="eastAsia" w:ascii="方正小标宋简体" w:hAnsi="方正小标宋简体" w:eastAsia="方正小标宋简体" w:cs="方正小标宋简体"/>
          <w:b w:val="0"/>
          <w:bCs w:val="0"/>
          <w:color w:val="auto"/>
          <w:sz w:val="32"/>
          <w:szCs w:val="32"/>
          <w:highlight w:val="non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8" w:lineRule="exact"/>
        <w:jc w:val="both"/>
        <w:textAlignment w:val="auto"/>
        <w:rPr>
          <w:rFonts w:hint="eastAsia" w:ascii="宋体" w:hAnsi="宋体" w:eastAsia="FZXiaoBiaoSong-B05S" w:cs="FZXiaoBiaoSong-B05S"/>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8" w:lineRule="exact"/>
        <w:jc w:val="center"/>
        <w:textAlignment w:val="auto"/>
        <w:rPr>
          <w:rFonts w:hint="eastAsia" w:ascii="宋体" w:hAnsi="宋体" w:eastAsia="FZXiaoBiaoSong-B05S" w:cs="FZXiaoBiaoSong-B05S"/>
          <w:color w:val="auto"/>
          <w:sz w:val="44"/>
          <w:szCs w:val="44"/>
          <w:highlight w:val="none"/>
          <w:lang w:val="en-US" w:eastAsia="zh-CN"/>
        </w:rPr>
      </w:pPr>
      <w:r>
        <w:rPr>
          <w:rFonts w:hint="eastAsia" w:ascii="宋体" w:hAnsi="宋体" w:eastAsia="FZXiaoBiaoSong-B05S" w:cs="FZXiaoBiaoSong-B05S"/>
          <w:color w:val="auto"/>
          <w:sz w:val="44"/>
          <w:szCs w:val="44"/>
          <w:highlight w:val="none"/>
          <w:lang w:val="en-US" w:eastAsia="zh-CN"/>
        </w:rPr>
        <w:t>财政电子票据管理办法</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8" w:lineRule="exact"/>
        <w:jc w:val="both"/>
        <w:textAlignment w:val="auto"/>
        <w:rPr>
          <w:rFonts w:hint="default" w:ascii="宋体" w:hAnsi="宋体" w:eastAsia="楷体_GB2312" w:cs="楷体_GB2312"/>
          <w:b w:val="0"/>
          <w:bCs w:val="0"/>
          <w:color w:val="auto"/>
          <w:sz w:val="32"/>
          <w:szCs w:val="32"/>
          <w:highlight w:val="none"/>
          <w:lang w:val="en"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88" w:lineRule="exact"/>
        <w:jc w:val="center"/>
        <w:textAlignment w:val="auto"/>
        <w:rPr>
          <w:rFonts w:hint="eastAsia" w:ascii="宋体" w:hAnsi="宋体" w:eastAsia="FZFangSong-Z02S" w:cs="FZFangSong-Z02S"/>
          <w:color w:val="auto"/>
          <w:sz w:val="32"/>
          <w:szCs w:val="32"/>
          <w:highlight w:val="none"/>
          <w:lang w:val="en-US" w:eastAsia="zh-CN"/>
        </w:rPr>
      </w:pPr>
      <w:r>
        <w:rPr>
          <w:rFonts w:hint="eastAsia" w:ascii="宋体" w:hAnsi="宋体" w:eastAsia="SimHei" w:cs="SimHei"/>
          <w:color w:val="auto"/>
          <w:sz w:val="32"/>
          <w:szCs w:val="32"/>
          <w:highlight w:val="none"/>
          <w:lang w:val="en-US" w:eastAsia="zh-CN"/>
        </w:rPr>
        <w:t>总则</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88" w:lineRule="exact"/>
        <w:ind w:firstLine="640" w:firstLineChars="200"/>
        <w:textAlignment w:val="auto"/>
        <w:rPr>
          <w:rFonts w:hint="eastAsia" w:ascii="宋体" w:hAnsi="宋体" w:eastAsia="仿宋_GB2312" w:cs="仿宋_GB2312"/>
          <w:color w:val="auto"/>
          <w:sz w:val="32"/>
          <w:szCs w:val="32"/>
          <w:highlight w:val="none"/>
          <w:lang w:val="en-US" w:eastAsia="zh-CN"/>
        </w:rPr>
      </w:pPr>
      <w:r>
        <w:rPr>
          <w:rFonts w:hint="eastAsia" w:ascii="宋体" w:hAnsi="宋体" w:eastAsia="仿宋_GB2312" w:cs="仿宋_GB2312"/>
          <w:color w:val="auto"/>
          <w:sz w:val="32"/>
          <w:szCs w:val="32"/>
          <w:highlight w:val="none"/>
          <w:lang w:val="en-US" w:eastAsia="zh-CN"/>
        </w:rPr>
        <w:t>为规范财政电子票据</w:t>
      </w:r>
      <w:r>
        <w:rPr>
          <w:rFonts w:hint="eastAsia" w:ascii="宋体" w:hAnsi="宋体" w:eastAsia="仿宋_GB2312" w:cs="仿宋_GB2312"/>
          <w:strike w:val="0"/>
          <w:dstrike w:val="0"/>
          <w:color w:val="auto"/>
          <w:sz w:val="32"/>
          <w:szCs w:val="32"/>
          <w:highlight w:val="none"/>
          <w:lang w:val="en-US" w:eastAsia="zh-CN"/>
        </w:rPr>
        <w:t>管理</w:t>
      </w:r>
      <w:r>
        <w:rPr>
          <w:rFonts w:hint="eastAsia" w:ascii="宋体" w:hAnsi="宋体" w:eastAsia="仿宋_GB2312" w:cs="仿宋_GB2312"/>
          <w:color w:val="auto"/>
          <w:sz w:val="32"/>
          <w:szCs w:val="32"/>
          <w:highlight w:val="none"/>
          <w:lang w:val="en-US" w:eastAsia="zh-CN"/>
        </w:rPr>
        <w:t>，加强财务监督，维护财经秩序，保护公民、法人和其他组织的合法权益，根据《中华人民共和国电子签名法》、</w:t>
      </w:r>
      <w:bookmarkStart w:id="66" w:name="_GoBack"/>
      <w:bookmarkEnd w:id="66"/>
      <w:r>
        <w:rPr>
          <w:rFonts w:hint="eastAsia" w:ascii="宋体" w:hAnsi="宋体" w:eastAsia="仿宋_GB2312" w:cs="仿宋_GB2312"/>
          <w:color w:val="auto"/>
          <w:sz w:val="32"/>
          <w:szCs w:val="32"/>
          <w:highlight w:val="none"/>
          <w:lang w:val="en-US" w:eastAsia="zh-CN"/>
        </w:rPr>
        <w:t>《财政票据管理办法》（财政部令第104号）、《会计档案管理办法》(财政部 国家档案局令第79号)、《财政部关于印发&lt;关于加强数据资产管理的指导意见&gt;的通知》（财资〔2023〕141号）等有关规定，制定本办法。</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8" w:lineRule="exact"/>
        <w:ind w:firstLine="640" w:firstLineChars="200"/>
        <w:textAlignment w:val="auto"/>
        <w:rPr>
          <w:rFonts w:hint="eastAsia" w:ascii="宋体" w:hAnsi="宋体"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第二条</w:t>
      </w:r>
      <w:r>
        <w:rPr>
          <w:rFonts w:hint="eastAsia" w:ascii="宋体" w:hAnsi="宋体" w:eastAsia="仿宋_GB2312" w:cs="仿宋_GB2312"/>
          <w:color w:val="auto"/>
          <w:sz w:val="32"/>
          <w:szCs w:val="32"/>
          <w:highlight w:val="none"/>
          <w:lang w:val="en-US" w:eastAsia="zh-CN"/>
        </w:rPr>
        <w:t xml:space="preserve"> 本办法所称财政电子票据，是指由财政部门监制，国家机关、事业单位、具有公共管理或公共服务职能的社会团体及其他组织（以下统称开票</w:t>
      </w:r>
      <w:r>
        <w:rPr>
          <w:rFonts w:hint="eastAsia" w:ascii="宋体" w:hAnsi="宋体" w:eastAsia="仿宋_GB2312" w:cs="仿宋_GB2312"/>
          <w:b w:val="0"/>
          <w:bCs w:val="0"/>
          <w:color w:val="auto"/>
          <w:sz w:val="32"/>
          <w:szCs w:val="32"/>
          <w:highlight w:val="none"/>
          <w:lang w:val="en-US" w:eastAsia="zh-CN"/>
        </w:rPr>
        <w:t>单位</w:t>
      </w:r>
      <w:r>
        <w:rPr>
          <w:rFonts w:hint="eastAsia" w:ascii="宋体" w:hAnsi="宋体" w:eastAsia="仿宋_GB2312" w:cs="仿宋_GB2312"/>
          <w:color w:val="auto"/>
          <w:sz w:val="32"/>
          <w:szCs w:val="32"/>
          <w:highlight w:val="none"/>
          <w:lang w:val="en-US" w:eastAsia="zh-CN"/>
        </w:rPr>
        <w:t>）依法收取政府非税收入或者从事非营利性活动收取财物时，依托计算机和信息网络技术开具的数字电文形式的电子凭证。</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8" w:lineRule="exact"/>
        <w:ind w:firstLine="640" w:firstLineChars="200"/>
        <w:textAlignment w:val="auto"/>
        <w:rPr>
          <w:rFonts w:hint="eastAsia" w:ascii="宋体" w:hAnsi="宋体" w:eastAsia="仿宋_GB2312" w:cs="仿宋_GB2312"/>
          <w:color w:val="auto"/>
          <w:sz w:val="32"/>
          <w:szCs w:val="32"/>
          <w:highlight w:val="none"/>
          <w:lang w:val="en-US" w:eastAsia="zh-CN"/>
        </w:rPr>
      </w:pPr>
      <w:r>
        <w:rPr>
          <w:rFonts w:hint="eastAsia" w:ascii="宋体" w:hAnsi="宋体" w:eastAsia="仿宋_GB2312" w:cs="仿宋_GB2312"/>
          <w:color w:val="auto"/>
          <w:sz w:val="32"/>
          <w:szCs w:val="32"/>
          <w:highlight w:val="none"/>
          <w:lang w:val="en-US" w:eastAsia="zh-CN"/>
        </w:rPr>
        <w:t>财政电子票据以数字信息代替纸质文件、以电子签名代替手工签章，通过网络手段进行传输流转，通过计算机等电子载体进行存储保管，是以电子数据形式表现的财政票据，</w:t>
      </w:r>
      <w:r>
        <w:rPr>
          <w:rFonts w:hint="eastAsia" w:ascii="宋体" w:hAnsi="宋体" w:eastAsia="仿宋_GB2312" w:cs="仿宋_GB2312"/>
          <w:color w:val="000000" w:themeColor="text1"/>
          <w:sz w:val="32"/>
          <w:szCs w:val="32"/>
          <w:highlight w:val="none"/>
          <w:lang w:val="en-US" w:eastAsia="zh-CN"/>
          <w14:textFill>
            <w14:solidFill>
              <w14:schemeClr w14:val="tx1"/>
            </w14:solidFill>
          </w14:textFill>
        </w:rPr>
        <w:t>与纸质财政票据具有同等法律效力。</w:t>
      </w:r>
    </w:p>
    <w:p>
      <w:pPr>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588" w:lineRule="exact"/>
        <w:ind w:firstLine="640" w:firstLineChars="200"/>
        <w:textAlignment w:val="auto"/>
        <w:rPr>
          <w:rFonts w:hint="eastAsia" w:ascii="宋体" w:hAnsi="宋体"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第三条 </w:t>
      </w:r>
      <w:r>
        <w:rPr>
          <w:rFonts w:hint="eastAsia" w:ascii="宋体" w:hAnsi="宋体" w:eastAsia="仿宋_GB2312" w:cs="仿宋_GB2312"/>
          <w:color w:val="auto"/>
          <w:sz w:val="32"/>
          <w:szCs w:val="32"/>
          <w:highlight w:val="none"/>
          <w:lang w:val="en-US" w:eastAsia="zh-CN"/>
        </w:rPr>
        <w:t>财政电子票据的基本要素包括：票据名称、票据监制章、票据代码、票据号码、票据校验码、交款人、交款人统一社会信用代码、开票日期、项目名称、单位、数量、标准、金额、收款单位等。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8" w:lineRule="exact"/>
        <w:ind w:firstLine="640" w:firstLineChars="200"/>
        <w:textAlignment w:val="auto"/>
        <w:rPr>
          <w:rFonts w:hint="eastAsia" w:ascii="宋体" w:hAnsi="宋体" w:eastAsia="仿宋_GB2312" w:cs="仿宋_GB2312"/>
          <w:color w:val="auto"/>
          <w:sz w:val="32"/>
          <w:szCs w:val="32"/>
          <w:highlight w:val="none"/>
        </w:rPr>
      </w:pPr>
      <w:r>
        <w:rPr>
          <w:rFonts w:hint="eastAsia" w:ascii="黑体" w:hAnsi="黑体" w:eastAsia="黑体" w:cs="黑体"/>
          <w:color w:val="auto"/>
          <w:sz w:val="32"/>
          <w:szCs w:val="32"/>
          <w:highlight w:val="none"/>
          <w:lang w:val="en-US" w:eastAsia="zh-CN"/>
        </w:rPr>
        <w:t xml:space="preserve">第四条 </w:t>
      </w:r>
      <w:r>
        <w:rPr>
          <w:rFonts w:hint="eastAsia" w:ascii="宋体" w:hAnsi="宋体" w:eastAsia="仿宋_GB2312" w:cs="仿宋_GB2312"/>
          <w:color w:val="auto"/>
          <w:sz w:val="32"/>
          <w:szCs w:val="32"/>
          <w:highlight w:val="none"/>
        </w:rPr>
        <w:t>财政部门是财政电子票据的主管部门</w:t>
      </w:r>
      <w:r>
        <w:rPr>
          <w:rFonts w:hint="eastAsia" w:ascii="宋体" w:hAnsi="宋体" w:eastAsia="仿宋_GB2312" w:cs="仿宋_GB2312"/>
          <w:color w:val="auto"/>
          <w:sz w:val="32"/>
          <w:szCs w:val="32"/>
          <w:highlight w:val="none"/>
          <w:lang w:eastAsia="zh-CN"/>
        </w:rPr>
        <w:t>，并</w:t>
      </w:r>
      <w:r>
        <w:rPr>
          <w:rFonts w:hint="eastAsia" w:ascii="宋体" w:hAnsi="宋体" w:eastAsia="仿宋_GB2312" w:cs="仿宋_GB2312"/>
          <w:color w:val="auto"/>
          <w:sz w:val="32"/>
          <w:szCs w:val="32"/>
          <w:highlight w:val="none"/>
        </w:rPr>
        <w:t>按照《财政票据管理办法》</w:t>
      </w:r>
      <w:r>
        <w:rPr>
          <w:rFonts w:hint="eastAsia" w:ascii="宋体" w:hAnsi="宋体" w:eastAsia="仿宋_GB2312" w:cs="仿宋_GB2312"/>
          <w:color w:val="auto"/>
          <w:sz w:val="32"/>
          <w:szCs w:val="32"/>
          <w:highlight w:val="none"/>
          <w:lang w:val="en-US" w:eastAsia="zh-CN"/>
        </w:rPr>
        <w:t>（财政部令第104号）</w:t>
      </w:r>
      <w:r>
        <w:rPr>
          <w:rFonts w:hint="eastAsia" w:ascii="宋体" w:hAnsi="宋体" w:eastAsia="仿宋_GB2312" w:cs="仿宋_GB2312"/>
          <w:color w:val="auto"/>
          <w:sz w:val="32"/>
          <w:szCs w:val="32"/>
          <w:highlight w:val="none"/>
        </w:rPr>
        <w:t>规定的职责分工和管理权限，负责本行政区域内财政电子票据的管理工作。</w:t>
      </w:r>
    </w:p>
    <w:p>
      <w:pPr>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588" w:lineRule="exact"/>
        <w:ind w:firstLine="640" w:firstLineChars="200"/>
        <w:textAlignment w:val="auto"/>
        <w:rPr>
          <w:rFonts w:hint="eastAsia" w:ascii="宋体" w:hAnsi="宋体" w:eastAsia="仿宋_GB2312" w:cs="仿宋_GB2312"/>
          <w:color w:val="auto"/>
          <w:sz w:val="32"/>
          <w:szCs w:val="32"/>
          <w:highlight w:val="none"/>
          <w:lang w:val="en-US" w:eastAsia="zh-CN"/>
        </w:rPr>
      </w:pPr>
      <w:r>
        <w:rPr>
          <w:rFonts w:hint="eastAsia" w:ascii="宋体" w:hAnsi="宋体" w:eastAsia="仿宋_GB2312" w:cs="仿宋_GB2312"/>
          <w:color w:val="auto"/>
          <w:sz w:val="32"/>
          <w:szCs w:val="32"/>
          <w:highlight w:val="none"/>
          <w:lang w:val="en-US" w:eastAsia="zh-CN"/>
        </w:rPr>
        <w:t>开票单位按照规定管理本单位财政电子票据，负责解释本单位电子票据填开内容。</w:t>
      </w:r>
    </w:p>
    <w:p>
      <w:pPr>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588" w:lineRule="exact"/>
        <w:ind w:left="0" w:leftChars="0" w:firstLine="640" w:firstLineChars="200"/>
        <w:jc w:val="both"/>
        <w:textAlignment w:val="auto"/>
        <w:rPr>
          <w:rFonts w:hint="eastAsia" w:ascii="宋体" w:hAnsi="宋体" w:eastAsia="仿宋_GB2312" w:cs="仿宋_GB2312"/>
          <w:b w:val="0"/>
          <w:bCs w:val="0"/>
          <w:color w:val="0000FF"/>
          <w:sz w:val="32"/>
          <w:szCs w:val="32"/>
          <w:highlight w:val="none"/>
          <w:lang w:val="en-US" w:eastAsia="zh-CN"/>
        </w:rPr>
      </w:pPr>
      <w:r>
        <w:rPr>
          <w:rFonts w:hint="eastAsia" w:ascii="黑体" w:hAnsi="黑体" w:eastAsia="黑体" w:cs="黑体"/>
          <w:color w:val="auto"/>
          <w:sz w:val="32"/>
          <w:szCs w:val="32"/>
          <w:highlight w:val="none"/>
          <w:lang w:val="en-US" w:eastAsia="zh-CN"/>
        </w:rPr>
        <w:t>第五条</w:t>
      </w:r>
      <w:r>
        <w:rPr>
          <w:rFonts w:hint="eastAsia" w:ascii="宋体" w:hAnsi="宋体" w:eastAsia="SimHei" w:cs="SimHei"/>
          <w:color w:val="auto"/>
          <w:sz w:val="32"/>
          <w:szCs w:val="32"/>
          <w:highlight w:val="none"/>
          <w:lang w:val="en-US" w:eastAsia="zh-CN"/>
        </w:rPr>
        <w:t xml:space="preserve"> </w:t>
      </w:r>
      <w:r>
        <w:rPr>
          <w:rFonts w:hint="eastAsia" w:ascii="宋体" w:hAnsi="宋体" w:eastAsia="仿宋_GB2312" w:cs="仿宋_GB2312"/>
          <w:color w:val="auto"/>
          <w:sz w:val="32"/>
          <w:szCs w:val="32"/>
          <w:highlight w:val="none"/>
          <w:lang w:val="en-US" w:eastAsia="zh-CN"/>
        </w:rPr>
        <w:t>财政部门应加强财政电子票据数据质量管理，要求开票单位准确、完整填写财政电子票据票面信息，持续提升财政电子票据数据信息规范化、标准化水平。</w:t>
      </w:r>
    </w:p>
    <w:p>
      <w:pPr>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588" w:lineRule="exact"/>
        <w:ind w:left="0" w:leftChars="0" w:firstLine="640" w:firstLineChars="0"/>
        <w:jc w:val="both"/>
        <w:textAlignment w:val="auto"/>
        <w:rPr>
          <w:rFonts w:hint="eastAsia" w:ascii="宋体" w:hAnsi="宋体"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六</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宋体" w:hAnsi="宋体" w:eastAsia="仿宋_GB2312" w:cs="仿宋_GB2312"/>
          <w:color w:val="auto"/>
          <w:sz w:val="32"/>
          <w:szCs w:val="32"/>
          <w:highlight w:val="none"/>
          <w:lang w:eastAsia="zh-CN"/>
        </w:rPr>
        <w:t>财政部门要加强财政电子票据数据信息共享，推动</w:t>
      </w:r>
      <w:r>
        <w:rPr>
          <w:rFonts w:hint="eastAsia" w:ascii="宋体" w:hAnsi="宋体" w:eastAsia="仿宋_GB2312" w:cs="仿宋_GB2312"/>
          <w:color w:val="auto"/>
          <w:sz w:val="32"/>
          <w:szCs w:val="32"/>
          <w:highlight w:val="none"/>
          <w:lang w:val="en-US" w:eastAsia="zh-CN"/>
        </w:rPr>
        <w:t>开展</w:t>
      </w:r>
      <w:r>
        <w:rPr>
          <w:rFonts w:hint="eastAsia" w:ascii="宋体" w:hAnsi="宋体" w:eastAsia="仿宋_GB2312" w:cs="仿宋_GB2312"/>
          <w:color w:val="auto"/>
          <w:sz w:val="32"/>
          <w:szCs w:val="32"/>
          <w:highlight w:val="none"/>
          <w:lang w:eastAsia="zh-CN"/>
        </w:rPr>
        <w:t>财政电子票据大数据</w:t>
      </w:r>
      <w:r>
        <w:rPr>
          <w:rFonts w:hint="eastAsia" w:ascii="宋体" w:hAnsi="宋体" w:eastAsia="仿宋_GB2312" w:cs="仿宋_GB2312"/>
          <w:color w:val="auto"/>
          <w:sz w:val="32"/>
          <w:szCs w:val="32"/>
          <w:highlight w:val="none"/>
          <w:lang w:val="en-US" w:eastAsia="zh-CN"/>
        </w:rPr>
        <w:t>分析</w:t>
      </w:r>
      <w:r>
        <w:rPr>
          <w:rFonts w:hint="eastAsia" w:ascii="宋体" w:hAnsi="宋体" w:eastAsia="仿宋_GB2312" w:cs="仿宋_GB2312"/>
          <w:color w:val="auto"/>
          <w:sz w:val="32"/>
          <w:szCs w:val="32"/>
          <w:highlight w:val="none"/>
          <w:lang w:eastAsia="zh-CN"/>
        </w:rPr>
        <w:t>应用，为财政管理和监督提供支撑。</w:t>
      </w:r>
    </w:p>
    <w:p>
      <w:pPr>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588" w:lineRule="exact"/>
        <w:ind w:left="0" w:leftChars="0" w:firstLine="640" w:firstLineChars="200"/>
        <w:textAlignment w:val="auto"/>
        <w:rPr>
          <w:rFonts w:hint="eastAsia" w:ascii="宋体" w:hAnsi="宋体"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七</w:t>
      </w:r>
      <w:r>
        <w:rPr>
          <w:rFonts w:hint="eastAsia" w:ascii="黑体" w:hAnsi="黑体" w:eastAsia="黑体" w:cs="黑体"/>
          <w:color w:val="auto"/>
          <w:sz w:val="32"/>
          <w:szCs w:val="32"/>
          <w:highlight w:val="none"/>
        </w:rPr>
        <w:t>条</w:t>
      </w:r>
      <w:r>
        <w:rPr>
          <w:rFonts w:hint="eastAsia" w:ascii="宋体" w:hAnsi="宋体" w:eastAsia="仿宋_GB2312" w:cs="仿宋_GB2312"/>
          <w:color w:val="auto"/>
          <w:sz w:val="32"/>
          <w:szCs w:val="32"/>
          <w:highlight w:val="none"/>
          <w:lang w:eastAsia="zh-CN"/>
        </w:rPr>
        <w:t xml:space="preserve"> 财政部门</w:t>
      </w:r>
      <w:r>
        <w:rPr>
          <w:rFonts w:hint="eastAsia" w:ascii="宋体" w:hAnsi="宋体" w:eastAsia="仿宋_GB2312" w:cs="仿宋_GB2312"/>
          <w:color w:val="auto"/>
          <w:sz w:val="32"/>
          <w:szCs w:val="32"/>
          <w:highlight w:val="none"/>
          <w:lang w:val="en-US" w:eastAsia="zh-CN"/>
        </w:rPr>
        <w:t>可按照国家有关数据资产管理规定，在保护个人信息和确保数据资产安全基础上，探索建立财政电子票据数据资产应用机制，</w:t>
      </w:r>
      <w:r>
        <w:rPr>
          <w:rFonts w:hint="eastAsia" w:ascii="宋体" w:hAnsi="宋体" w:eastAsia="仿宋_GB2312" w:cs="仿宋_GB2312"/>
          <w:i w:val="0"/>
          <w:iCs w:val="0"/>
          <w:caps w:val="0"/>
          <w:color w:val="auto"/>
          <w:spacing w:val="0"/>
          <w:sz w:val="32"/>
          <w:szCs w:val="32"/>
          <w:highlight w:val="none"/>
          <w:shd w:val="clear"/>
        </w:rPr>
        <w:t>合规推进</w:t>
      </w:r>
      <w:r>
        <w:rPr>
          <w:rFonts w:hint="eastAsia" w:ascii="宋体" w:hAnsi="宋体" w:eastAsia="仿宋_GB2312" w:cs="仿宋_GB2312"/>
          <w:i w:val="0"/>
          <w:iCs w:val="0"/>
          <w:caps w:val="0"/>
          <w:color w:val="auto"/>
          <w:spacing w:val="0"/>
          <w:sz w:val="32"/>
          <w:szCs w:val="32"/>
          <w:highlight w:val="none"/>
          <w:shd w:val="clear"/>
          <w:lang w:val="en-US" w:eastAsia="zh-CN"/>
        </w:rPr>
        <w:t>财政电子票据</w:t>
      </w:r>
      <w:r>
        <w:rPr>
          <w:rFonts w:hint="eastAsia" w:ascii="宋体" w:hAnsi="宋体" w:eastAsia="仿宋_GB2312" w:cs="仿宋_GB2312"/>
          <w:i w:val="0"/>
          <w:iCs w:val="0"/>
          <w:caps w:val="0"/>
          <w:color w:val="auto"/>
          <w:spacing w:val="0"/>
          <w:sz w:val="32"/>
          <w:szCs w:val="32"/>
          <w:highlight w:val="none"/>
          <w:shd w:val="clear"/>
        </w:rPr>
        <w:t>数据资产化</w:t>
      </w:r>
      <w:r>
        <w:rPr>
          <w:rFonts w:hint="eastAsia" w:ascii="宋体" w:hAnsi="宋体" w:eastAsia="仿宋_GB2312" w:cs="仿宋_GB2312"/>
          <w:color w:val="auto"/>
          <w:sz w:val="32"/>
          <w:szCs w:val="32"/>
          <w:highlight w:val="none"/>
          <w:lang w:val="en-US" w:eastAsia="zh-CN"/>
        </w:rPr>
        <w:t>。</w:t>
      </w:r>
    </w:p>
    <w:p>
      <w:pPr>
        <w:pStyle w:val="2"/>
        <w:rPr>
          <w:rFonts w:hint="default"/>
          <w:lang w:val="en-US" w:eastAsia="zh-CN"/>
        </w:rPr>
      </w:pPr>
    </w:p>
    <w:p>
      <w:pPr>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588" w:lineRule="exact"/>
        <w:ind w:left="0" w:leftChars="0" w:firstLine="0" w:firstLineChars="0"/>
        <w:jc w:val="center"/>
        <w:textAlignment w:val="auto"/>
        <w:rPr>
          <w:rFonts w:hint="default" w:ascii="宋体" w:hAnsi="宋体" w:eastAsia="FZFangSong-Z02S" w:cs="FZFangSong-Z02S"/>
          <w:color w:val="auto"/>
          <w:sz w:val="32"/>
          <w:szCs w:val="32"/>
          <w:highlight w:val="none"/>
          <w:lang w:val="en-US" w:eastAsia="zh-CN"/>
        </w:rPr>
      </w:pPr>
      <w:r>
        <w:rPr>
          <w:rFonts w:hint="eastAsia" w:ascii="宋体" w:hAnsi="宋体" w:eastAsia="SimHei" w:cs="SimHei"/>
          <w:color w:val="auto"/>
          <w:sz w:val="32"/>
          <w:szCs w:val="32"/>
          <w:highlight w:val="none"/>
          <w:lang w:val="en-US" w:eastAsia="zh-CN"/>
        </w:rPr>
        <w:t>第二章 财政电子票据管理流程</w:t>
      </w:r>
    </w:p>
    <w:p>
      <w:pPr>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588" w:lineRule="exact"/>
        <w:ind w:left="0" w:firstLine="640"/>
        <w:jc w:val="both"/>
        <w:textAlignment w:val="auto"/>
        <w:rPr>
          <w:rFonts w:hint="eastAsia" w:ascii="宋体" w:hAnsi="宋体"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第八条</w:t>
      </w:r>
      <w:r>
        <w:rPr>
          <w:rFonts w:hint="eastAsia" w:ascii="宋体" w:hAnsi="宋体" w:eastAsia="仿宋_GB2312" w:cs="仿宋_GB2312"/>
          <w:color w:val="auto"/>
          <w:sz w:val="32"/>
          <w:szCs w:val="32"/>
          <w:highlight w:val="none"/>
          <w:lang w:val="en-US" w:eastAsia="zh-CN"/>
        </w:rPr>
        <w:t xml:space="preserve"> 制样。财政部门根据财政电子票据的数据要素，依托财政票据管理系统制作形成符合相关国家标准规范的财政电子票据可视化式样。</w:t>
      </w:r>
    </w:p>
    <w:p>
      <w:pPr>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588" w:lineRule="exact"/>
        <w:ind w:left="0" w:firstLine="640"/>
        <w:jc w:val="both"/>
        <w:textAlignment w:val="auto"/>
        <w:rPr>
          <w:rFonts w:hint="eastAsia" w:ascii="宋体" w:hAnsi="宋体"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第九条</w:t>
      </w:r>
      <w:r>
        <w:rPr>
          <w:rFonts w:hint="eastAsia" w:ascii="宋体" w:hAnsi="宋体" w:eastAsia="仿宋_GB2312" w:cs="仿宋_GB2312"/>
          <w:color w:val="auto"/>
          <w:sz w:val="32"/>
          <w:szCs w:val="32"/>
          <w:highlight w:val="none"/>
          <w:lang w:val="en-US" w:eastAsia="zh-CN"/>
        </w:rPr>
        <w:t xml:space="preserve"> 赋码。开票单位一般按照财务隶属关系向同级财政部门申领财政电子票据。收到开票单位申请后，财政部门按照分次限量、核旧领新原则，向开票单位发放财政电子票据编码。</w:t>
      </w:r>
    </w:p>
    <w:p>
      <w:pPr>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588" w:lineRule="exact"/>
        <w:ind w:left="0" w:firstLine="640"/>
        <w:jc w:val="both"/>
        <w:textAlignment w:val="auto"/>
        <w:rPr>
          <w:rFonts w:hint="default" w:ascii="宋体" w:hAnsi="宋体" w:eastAsia="仿宋_GB2312" w:cs="仿宋_GB2312"/>
          <w:color w:val="auto"/>
          <w:sz w:val="32"/>
          <w:szCs w:val="32"/>
          <w:highlight w:val="none"/>
          <w:lang w:val="en-US" w:eastAsia="zh-CN"/>
        </w:rPr>
      </w:pPr>
      <w:r>
        <w:rPr>
          <w:rFonts w:hint="eastAsia" w:ascii="宋体" w:hAnsi="宋体" w:eastAsia="仿宋_GB2312" w:cs="仿宋_GB2312"/>
          <w:color w:val="auto"/>
          <w:sz w:val="32"/>
          <w:szCs w:val="32"/>
          <w:highlight w:val="none"/>
          <w:lang w:val="en-US" w:eastAsia="zh-CN"/>
        </w:rPr>
        <w:t>财政电子票据编码由票据代码和票据号码两部分组成，具有唯一性。财政电子票据代码由财政电子票据监管机构行政区划编码、财政电子票据分类编码、种类编码和年度编码等4部分组成。财政电子票据号码采用顺序号。</w:t>
      </w:r>
    </w:p>
    <w:p>
      <w:pPr>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588" w:lineRule="exact"/>
        <w:ind w:left="0" w:firstLine="640"/>
        <w:jc w:val="both"/>
        <w:textAlignment w:val="auto"/>
        <w:rPr>
          <w:rFonts w:hint="eastAsia" w:ascii="宋体" w:hAnsi="宋体"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第十条</w:t>
      </w:r>
      <w:r>
        <w:rPr>
          <w:rFonts w:hint="eastAsia" w:ascii="宋体" w:hAnsi="宋体" w:eastAsia="仿宋_GB2312" w:cs="仿宋_GB2312"/>
          <w:color w:val="auto"/>
          <w:sz w:val="32"/>
          <w:szCs w:val="32"/>
          <w:highlight w:val="none"/>
          <w:lang w:val="en-US" w:eastAsia="zh-CN"/>
        </w:rPr>
        <w:t xml:space="preserve"> 开具。开票单位确认收取财物后，制作生成含有单位数字签名信息的电子票据，经财政部门审验确认电子票据编码唯一性、单位签名有效性后，监制生成完整的财政电子票据。</w:t>
      </w:r>
    </w:p>
    <w:p>
      <w:pPr>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588" w:lineRule="exact"/>
        <w:ind w:left="0" w:firstLine="0"/>
        <w:jc w:val="both"/>
        <w:textAlignment w:val="auto"/>
        <w:rPr>
          <w:rFonts w:hint="eastAsia" w:ascii="宋体" w:hAnsi="宋体"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    第十一条</w:t>
      </w:r>
      <w:r>
        <w:rPr>
          <w:rFonts w:hint="eastAsia" w:ascii="宋体" w:hAnsi="宋体" w:eastAsia="SimHei" w:cs="SimHei"/>
          <w:color w:val="auto"/>
          <w:sz w:val="32"/>
          <w:szCs w:val="32"/>
          <w:highlight w:val="none"/>
          <w:lang w:val="en-US" w:eastAsia="zh-CN"/>
        </w:rPr>
        <w:t xml:space="preserve"> </w:t>
      </w:r>
      <w:r>
        <w:rPr>
          <w:rFonts w:hint="eastAsia" w:ascii="宋体" w:hAnsi="宋体" w:eastAsia="仿宋_GB2312" w:cs="仿宋_GB2312"/>
          <w:color w:val="auto"/>
          <w:sz w:val="32"/>
          <w:szCs w:val="32"/>
          <w:highlight w:val="none"/>
          <w:lang w:val="en-US" w:eastAsia="zh-CN"/>
        </w:rPr>
        <w:t>传输。开票单位应及时通过短信、邮件、应用服务程序等多种方式向交款人交付财政电子票据。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8" w:lineRule="exact"/>
        <w:ind w:firstLine="640" w:firstLineChars="200"/>
        <w:jc w:val="both"/>
        <w:textAlignment w:val="auto"/>
        <w:rPr>
          <w:rFonts w:hint="eastAsia" w:ascii="宋体" w:hAnsi="宋体"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第十二条 </w:t>
      </w:r>
      <w:r>
        <w:rPr>
          <w:rFonts w:hint="eastAsia" w:ascii="宋体" w:hAnsi="宋体" w:eastAsia="仿宋_GB2312" w:cs="仿宋_GB2312"/>
          <w:color w:val="auto"/>
          <w:sz w:val="32"/>
          <w:szCs w:val="32"/>
          <w:highlight w:val="none"/>
          <w:lang w:val="en-US" w:eastAsia="zh-CN"/>
        </w:rPr>
        <w:t>查验。财政部门通过财政电子票据公共服务平台提供财政电子票据票面信息查询和票据真伪查验服务，各地财政电子票据公共服务平台查验结果应当和全国财政电子票据公共服务平台保持一致。</w:t>
      </w:r>
    </w:p>
    <w:p>
      <w:pPr>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588" w:lineRule="exact"/>
        <w:ind w:firstLine="640" w:firstLineChars="0"/>
        <w:jc w:val="both"/>
        <w:textAlignment w:val="auto"/>
        <w:rPr>
          <w:rFonts w:hint="eastAsia" w:ascii="宋体" w:hAnsi="宋体" w:eastAsia="仿宋_GB2312" w:cs="仿宋_GB2312"/>
          <w:color w:val="auto"/>
          <w:sz w:val="32"/>
          <w:szCs w:val="32"/>
          <w:highlight w:val="none"/>
        </w:rPr>
      </w:pPr>
      <w:r>
        <w:rPr>
          <w:rFonts w:hint="eastAsia" w:ascii="黑体" w:hAnsi="黑体" w:eastAsia="黑体" w:cs="黑体"/>
          <w:color w:val="auto"/>
          <w:sz w:val="32"/>
          <w:szCs w:val="32"/>
          <w:highlight w:val="none"/>
          <w:lang w:val="en-US" w:eastAsia="zh-CN"/>
        </w:rPr>
        <w:t>第十三条</w:t>
      </w:r>
      <w:r>
        <w:rPr>
          <w:rFonts w:hint="eastAsia" w:ascii="宋体" w:hAnsi="宋体" w:eastAsia="SimHei" w:cs="SimHei"/>
          <w:color w:val="auto"/>
          <w:sz w:val="32"/>
          <w:szCs w:val="32"/>
          <w:highlight w:val="none"/>
          <w:lang w:val="en-US" w:eastAsia="zh-CN"/>
        </w:rPr>
        <w:t xml:space="preserve"> </w:t>
      </w:r>
      <w:r>
        <w:rPr>
          <w:rFonts w:hint="eastAsia" w:ascii="宋体" w:hAnsi="宋体" w:eastAsia="仿宋_GB2312" w:cs="仿宋_GB2312"/>
          <w:color w:val="auto"/>
          <w:sz w:val="32"/>
          <w:szCs w:val="32"/>
          <w:highlight w:val="none"/>
          <w:lang w:val="en-US" w:eastAsia="zh-CN"/>
        </w:rPr>
        <w:t>入账。</w:t>
      </w:r>
      <w:r>
        <w:rPr>
          <w:rFonts w:hint="eastAsia" w:ascii="宋体" w:hAnsi="宋体" w:eastAsia="仿宋_GB2312" w:cs="仿宋_GB2312"/>
          <w:color w:val="auto"/>
          <w:sz w:val="32"/>
          <w:szCs w:val="32"/>
          <w:highlight w:val="none"/>
          <w:lang w:eastAsia="zh-CN"/>
        </w:rPr>
        <w:t>使用财政电子票据报销入账的单位，</w:t>
      </w:r>
      <w:r>
        <w:rPr>
          <w:rFonts w:hint="eastAsia" w:ascii="宋体" w:hAnsi="宋体" w:eastAsia="仿宋_GB2312" w:cs="仿宋_GB2312"/>
          <w:color w:val="auto"/>
          <w:sz w:val="32"/>
          <w:szCs w:val="32"/>
          <w:highlight w:val="none"/>
        </w:rPr>
        <w:t>应当</w:t>
      </w:r>
      <w:r>
        <w:rPr>
          <w:rFonts w:hint="eastAsia" w:ascii="宋体" w:hAnsi="宋体" w:eastAsia="仿宋_GB2312" w:cs="仿宋_GB2312"/>
          <w:color w:val="auto"/>
          <w:sz w:val="32"/>
          <w:szCs w:val="32"/>
          <w:highlight w:val="none"/>
          <w:lang w:eastAsia="zh-CN"/>
        </w:rPr>
        <w:t>按照</w:t>
      </w:r>
      <w:r>
        <w:rPr>
          <w:rFonts w:hint="eastAsia" w:ascii="宋体" w:hAnsi="宋体" w:eastAsia="仿宋_GB2312" w:cs="仿宋_GB2312"/>
          <w:color w:val="auto"/>
          <w:sz w:val="32"/>
          <w:szCs w:val="32"/>
          <w:highlight w:val="none"/>
          <w:lang w:val="en-US" w:eastAsia="zh-CN"/>
        </w:rPr>
        <w:t>会计信息化相关工作规范要求</w:t>
      </w:r>
      <w:r>
        <w:rPr>
          <w:rFonts w:hint="eastAsia" w:ascii="宋体" w:hAnsi="宋体" w:eastAsia="仿宋_GB2312" w:cs="仿宋_GB2312"/>
          <w:color w:val="auto"/>
          <w:sz w:val="32"/>
          <w:szCs w:val="32"/>
          <w:highlight w:val="none"/>
          <w:lang w:eastAsia="zh-CN"/>
        </w:rPr>
        <w:t>，</w:t>
      </w:r>
      <w:r>
        <w:rPr>
          <w:rFonts w:hint="eastAsia" w:ascii="宋体" w:hAnsi="宋体" w:eastAsia="仿宋_GB2312" w:cs="仿宋_GB2312"/>
          <w:color w:val="auto"/>
          <w:sz w:val="32"/>
          <w:szCs w:val="32"/>
          <w:highlight w:val="none"/>
        </w:rPr>
        <w:t>准确、完整、有效接收和读取财政电子票据，并按照有关管理要求入账</w:t>
      </w:r>
      <w:r>
        <w:rPr>
          <w:rFonts w:hint="eastAsia" w:ascii="宋体" w:hAnsi="宋体" w:eastAsia="仿宋_GB2312" w:cs="仿宋_GB2312"/>
          <w:color w:val="auto"/>
          <w:sz w:val="32"/>
          <w:szCs w:val="32"/>
          <w:highlight w:val="none"/>
          <w:lang w:eastAsia="zh-CN"/>
        </w:rPr>
        <w:t>，入账后可向财政部门反馈报销信息，防</w:t>
      </w:r>
      <w:r>
        <w:rPr>
          <w:rFonts w:hint="eastAsia" w:ascii="宋体" w:hAnsi="宋体" w:eastAsia="仿宋_GB2312" w:cs="仿宋_GB2312"/>
          <w:color w:val="auto"/>
          <w:sz w:val="32"/>
          <w:szCs w:val="32"/>
          <w:highlight w:val="none"/>
          <w:lang w:val="en-US" w:eastAsia="zh-CN"/>
        </w:rPr>
        <w:t>止</w:t>
      </w:r>
      <w:r>
        <w:rPr>
          <w:rFonts w:hint="eastAsia" w:ascii="宋体" w:hAnsi="宋体" w:eastAsia="仿宋_GB2312" w:cs="仿宋_GB2312"/>
          <w:color w:val="auto"/>
          <w:sz w:val="32"/>
          <w:szCs w:val="32"/>
          <w:highlight w:val="none"/>
          <w:lang w:eastAsia="zh-CN"/>
        </w:rPr>
        <w:t>重复报销。</w:t>
      </w:r>
    </w:p>
    <w:p>
      <w:pPr>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588" w:lineRule="exact"/>
        <w:ind w:left="0" w:firstLine="640"/>
        <w:jc w:val="both"/>
        <w:textAlignment w:val="auto"/>
        <w:rPr>
          <w:rFonts w:hint="eastAsia" w:ascii="宋体" w:hAnsi="宋体" w:eastAsia="仿宋_GB2312" w:cs="仿宋_GB2312"/>
          <w:color w:val="auto"/>
          <w:kern w:val="2"/>
          <w:sz w:val="32"/>
          <w:szCs w:val="32"/>
          <w:highlight w:val="none"/>
          <w:lang w:val="en-US" w:eastAsia="zh-CN" w:bidi="ar"/>
        </w:rPr>
      </w:pPr>
      <w:r>
        <w:rPr>
          <w:rFonts w:hint="eastAsia" w:ascii="黑体" w:hAnsi="黑体" w:eastAsia="黑体" w:cs="黑体"/>
          <w:color w:val="auto"/>
          <w:sz w:val="32"/>
          <w:szCs w:val="32"/>
          <w:highlight w:val="none"/>
          <w:lang w:val="en-US" w:eastAsia="zh-CN"/>
        </w:rPr>
        <w:t>第十四条</w:t>
      </w:r>
      <w:r>
        <w:rPr>
          <w:rFonts w:hint="eastAsia" w:ascii="宋体" w:hAnsi="宋体" w:eastAsia="SimHei" w:cs="SimHei"/>
          <w:color w:val="auto"/>
          <w:sz w:val="32"/>
          <w:szCs w:val="32"/>
          <w:highlight w:val="none"/>
          <w:lang w:val="en-US" w:eastAsia="zh-CN"/>
        </w:rPr>
        <w:t xml:space="preserve"> </w:t>
      </w:r>
      <w:r>
        <w:rPr>
          <w:rFonts w:hint="eastAsia" w:ascii="宋体" w:hAnsi="宋体" w:eastAsia="仿宋_GB2312" w:cs="仿宋_GB2312"/>
          <w:color w:val="auto"/>
          <w:sz w:val="32"/>
          <w:szCs w:val="32"/>
          <w:highlight w:val="none"/>
          <w:lang w:val="en-US" w:eastAsia="zh-CN"/>
        </w:rPr>
        <w:t>冲红。开票单位开具财政电子票据后，如发生票据信息填写错误、退费等情形的，应开具等额的红字票据冲抵</w:t>
      </w:r>
      <w:r>
        <w:rPr>
          <w:rFonts w:hint="eastAsia" w:ascii="宋体" w:hAnsi="宋体" w:eastAsia="仿宋_GB2312" w:cs="仿宋_GB2312"/>
          <w:color w:val="auto"/>
          <w:kern w:val="2"/>
          <w:sz w:val="32"/>
          <w:szCs w:val="32"/>
          <w:highlight w:val="none"/>
          <w:lang w:val="en-US" w:eastAsia="zh-CN" w:bidi="ar"/>
        </w:rPr>
        <w:t>。财政部门应将对应的原财政电子票据标记“已冲红”。</w:t>
      </w:r>
    </w:p>
    <w:p>
      <w:pPr>
        <w:widowControl/>
        <w:numPr>
          <w:ilvl w:val="-1"/>
          <w:numId w:val="0"/>
        </w:numPr>
        <w:spacing w:line="588" w:lineRule="exact"/>
        <w:ind w:firstLine="640" w:firstLineChars="200"/>
        <w:jc w:val="left"/>
        <w:rPr>
          <w:rFonts w:hint="eastAsia" w:ascii="宋体" w:hAnsi="宋体" w:eastAsia="仿宋_GB2312" w:cs="仿宋_GB2312"/>
          <w:color w:val="auto"/>
          <w:kern w:val="2"/>
          <w:sz w:val="32"/>
          <w:szCs w:val="32"/>
          <w:highlight w:val="none"/>
          <w:lang w:val="en-US" w:eastAsia="zh-CN" w:bidi="ar"/>
        </w:rPr>
      </w:pPr>
      <w:r>
        <w:rPr>
          <w:rFonts w:hint="eastAsia" w:ascii="黑体" w:hAnsi="黑体" w:eastAsia="黑体" w:cs="黑体"/>
          <w:color w:val="auto"/>
          <w:sz w:val="32"/>
          <w:szCs w:val="32"/>
          <w:highlight w:val="none"/>
          <w:lang w:val="en-US" w:eastAsia="zh-CN"/>
        </w:rPr>
        <w:t>第十五条</w:t>
      </w:r>
      <w:r>
        <w:rPr>
          <w:rFonts w:hint="eastAsia" w:ascii="宋体" w:hAnsi="宋体" w:eastAsia="SimHei" w:cs="SimHei"/>
          <w:color w:val="auto"/>
          <w:sz w:val="32"/>
          <w:szCs w:val="32"/>
          <w:highlight w:val="none"/>
          <w:lang w:val="en-US" w:eastAsia="zh-CN"/>
        </w:rPr>
        <w:t xml:space="preserve"> </w:t>
      </w:r>
      <w:r>
        <w:rPr>
          <w:rFonts w:hint="eastAsia" w:ascii="宋体" w:hAnsi="宋体" w:eastAsia="仿宋_GB2312" w:cs="仿宋_GB2312"/>
          <w:color w:val="auto"/>
          <w:kern w:val="2"/>
          <w:sz w:val="32"/>
          <w:szCs w:val="32"/>
          <w:highlight w:val="none"/>
          <w:lang w:val="en-US" w:eastAsia="zh-CN" w:bidi="ar"/>
        </w:rPr>
        <w:t>核销。开票单位应及时对已使用的财政电子票据开票金额、实际收费金额等相关数据要素进行核对，确认一致后申请核销。</w:t>
      </w:r>
    </w:p>
    <w:p>
      <w:pPr>
        <w:widowControl w:val="0"/>
        <w:numPr>
          <w:ilvl w:val="-1"/>
          <w:numId w:val="0"/>
        </w:numPr>
        <w:spacing w:line="588" w:lineRule="exact"/>
        <w:ind w:firstLine="640"/>
        <w:jc w:val="both"/>
        <w:rPr>
          <w:rFonts w:hint="default" w:ascii="宋体" w:hAnsi="宋体" w:eastAsia="仿宋_GB2312" w:cs="仿宋_GB2312"/>
          <w:color w:val="auto"/>
          <w:sz w:val="32"/>
          <w:szCs w:val="32"/>
          <w:highlight w:val="none"/>
          <w:lang w:val="en-US" w:eastAsia="zh-CN"/>
        </w:rPr>
      </w:pPr>
      <w:r>
        <w:rPr>
          <w:rFonts w:hint="eastAsia" w:ascii="宋体" w:hAnsi="宋体" w:eastAsia="仿宋_GB2312" w:cs="仿宋_GB2312"/>
          <w:color w:val="auto"/>
          <w:sz w:val="32"/>
          <w:szCs w:val="32"/>
          <w:highlight w:val="none"/>
          <w:lang w:val="en-US" w:eastAsia="zh-CN"/>
        </w:rPr>
        <w:t>财政部门应对财政</w:t>
      </w:r>
      <w:r>
        <w:rPr>
          <w:rFonts w:hint="eastAsia" w:ascii="宋体" w:hAnsi="宋体" w:eastAsia="仿宋_GB2312" w:cs="仿宋_GB2312"/>
          <w:color w:val="auto"/>
          <w:sz w:val="32"/>
          <w:szCs w:val="32"/>
          <w:highlight w:val="none"/>
        </w:rPr>
        <w:t>电子票据交款人、项目、标准、金额等数据信息的完整性、合规性进行审验，通过</w:t>
      </w:r>
      <w:r>
        <w:rPr>
          <w:rFonts w:hint="eastAsia" w:ascii="宋体" w:hAnsi="宋体" w:eastAsia="仿宋_GB2312" w:cs="仿宋_GB2312"/>
          <w:color w:val="auto"/>
          <w:sz w:val="32"/>
          <w:szCs w:val="32"/>
          <w:highlight w:val="none"/>
          <w:lang w:val="en-US" w:eastAsia="zh-CN"/>
        </w:rPr>
        <w:t>财政票据管理系统实现自动</w:t>
      </w:r>
      <w:r>
        <w:rPr>
          <w:rFonts w:hint="eastAsia" w:ascii="宋体" w:hAnsi="宋体" w:eastAsia="仿宋_GB2312" w:cs="仿宋_GB2312"/>
          <w:color w:val="auto"/>
          <w:sz w:val="32"/>
          <w:szCs w:val="32"/>
          <w:highlight w:val="none"/>
        </w:rPr>
        <w:t>核销。</w:t>
      </w:r>
    </w:p>
    <w:p>
      <w:pPr>
        <w:widowControl w:val="0"/>
        <w:numPr>
          <w:ilvl w:val="-1"/>
          <w:numId w:val="0"/>
        </w:numPr>
        <w:spacing w:line="588" w:lineRule="exact"/>
        <w:ind w:firstLine="640"/>
        <w:jc w:val="both"/>
        <w:rPr>
          <w:rFonts w:hint="eastAsia" w:ascii="宋体" w:hAnsi="宋体"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第十六条 </w:t>
      </w:r>
      <w:r>
        <w:rPr>
          <w:rFonts w:hint="eastAsia" w:ascii="宋体" w:hAnsi="宋体" w:eastAsia="仿宋_GB2312" w:cs="仿宋_GB2312"/>
          <w:color w:val="auto"/>
          <w:sz w:val="32"/>
          <w:szCs w:val="32"/>
          <w:highlight w:val="none"/>
          <w:lang w:val="en-US" w:eastAsia="zh-CN"/>
        </w:rPr>
        <w:t>归档。财政部门和开票单位各自按照有关标准规范将核销后的财政电子票据归档。</w:t>
      </w:r>
    </w:p>
    <w:p>
      <w:pPr>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588" w:lineRule="exact"/>
        <w:ind w:left="0" w:leftChars="0" w:firstLine="0" w:firstLineChars="0"/>
        <w:textAlignment w:val="auto"/>
        <w:rPr>
          <w:rFonts w:hint="eastAsia" w:ascii="宋体" w:hAnsi="宋体" w:eastAsia="FZFangSong-Z02S" w:cs="FZFangSong-Z02S"/>
          <w:color w:val="auto"/>
          <w:sz w:val="32"/>
          <w:szCs w:val="32"/>
          <w:highlight w:val="none"/>
          <w:lang w:val="en-US" w:eastAsia="zh-CN"/>
        </w:rPr>
      </w:pPr>
    </w:p>
    <w:p>
      <w:pPr>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588" w:lineRule="exact"/>
        <w:ind w:left="0" w:leftChars="0" w:firstLine="0" w:firstLineChars="0"/>
        <w:jc w:val="center"/>
        <w:textAlignment w:val="auto"/>
        <w:rPr>
          <w:rFonts w:hint="eastAsia" w:ascii="宋体" w:hAnsi="宋体" w:eastAsia="SimHei" w:cs="SimHei"/>
          <w:color w:val="auto"/>
          <w:sz w:val="32"/>
          <w:szCs w:val="32"/>
          <w:highlight w:val="none"/>
          <w:lang w:val="en-US" w:eastAsia="zh-CN"/>
        </w:rPr>
      </w:pPr>
      <w:r>
        <w:rPr>
          <w:rFonts w:hint="eastAsia" w:ascii="宋体" w:hAnsi="宋体" w:eastAsia="SimHei" w:cs="SimHei"/>
          <w:color w:val="auto"/>
          <w:sz w:val="32"/>
          <w:szCs w:val="32"/>
          <w:highlight w:val="none"/>
          <w:lang w:val="en" w:eastAsia="zh-CN"/>
        </w:rPr>
        <w:t>第</w:t>
      </w:r>
      <w:r>
        <w:rPr>
          <w:rFonts w:hint="eastAsia" w:ascii="宋体" w:hAnsi="宋体" w:eastAsia="SimHei" w:cs="SimHei"/>
          <w:color w:val="auto"/>
          <w:sz w:val="32"/>
          <w:szCs w:val="32"/>
          <w:highlight w:val="none"/>
          <w:lang w:val="en-US" w:eastAsia="zh-CN"/>
        </w:rPr>
        <w:t>三</w:t>
      </w:r>
      <w:r>
        <w:rPr>
          <w:rFonts w:hint="eastAsia" w:ascii="宋体" w:hAnsi="宋体" w:eastAsia="SimHei" w:cs="SimHei"/>
          <w:color w:val="auto"/>
          <w:sz w:val="32"/>
          <w:szCs w:val="32"/>
          <w:highlight w:val="none"/>
          <w:lang w:val="en" w:eastAsia="zh-CN"/>
        </w:rPr>
        <w:t>章</w:t>
      </w:r>
      <w:r>
        <w:rPr>
          <w:rFonts w:hint="eastAsia" w:ascii="宋体" w:hAnsi="宋体" w:eastAsia="SimHei" w:cs="SimHei"/>
          <w:color w:val="auto"/>
          <w:sz w:val="32"/>
          <w:szCs w:val="32"/>
          <w:highlight w:val="none"/>
          <w:lang w:val="en-US" w:eastAsia="zh-CN"/>
        </w:rPr>
        <w:t xml:space="preserve"> 系统管理和安全保障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8" w:lineRule="exact"/>
        <w:ind w:firstLine="640" w:firstLineChars="200"/>
        <w:textAlignment w:val="auto"/>
        <w:rPr>
          <w:rFonts w:hint="eastAsia" w:ascii="宋体" w:hAnsi="宋体"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第十七条 </w:t>
      </w:r>
      <w:r>
        <w:rPr>
          <w:rFonts w:hint="eastAsia" w:ascii="宋体" w:hAnsi="宋体" w:eastAsia="仿宋_GB2312" w:cs="仿宋_GB2312"/>
          <w:i w:val="0"/>
          <w:caps w:val="0"/>
          <w:color w:val="auto"/>
          <w:spacing w:val="0"/>
          <w:sz w:val="32"/>
          <w:szCs w:val="32"/>
          <w:highlight w:val="none"/>
          <w:shd w:val="clear"/>
          <w:lang w:val="en-US" w:eastAsia="zh-CN"/>
        </w:rPr>
        <w:t>财政电子票据主要依托财政票据管理系统进行管理，系统须符合全国统一的业务规范和技术标准。</w:t>
      </w:r>
    </w:p>
    <w:p>
      <w:pPr>
        <w:widowControl w:val="0"/>
        <w:numPr>
          <w:ilvl w:val="-1"/>
          <w:numId w:val="0"/>
        </w:numPr>
        <w:spacing w:line="588" w:lineRule="exact"/>
        <w:ind w:firstLine="640"/>
        <w:jc w:val="both"/>
        <w:rPr>
          <w:rFonts w:hint="eastAsia" w:ascii="宋体" w:hAnsi="宋体" w:eastAsia="仿宋_GB2312" w:cs="仿宋_GB2312"/>
          <w:i w:val="0"/>
          <w:caps w:val="0"/>
          <w:color w:val="auto"/>
          <w:spacing w:val="0"/>
          <w:sz w:val="32"/>
          <w:szCs w:val="32"/>
          <w:highlight w:val="none"/>
          <w:shd w:val="clear"/>
          <w:lang w:val="en-US" w:eastAsia="zh-CN"/>
        </w:rPr>
      </w:pPr>
      <w:r>
        <w:rPr>
          <w:rFonts w:hint="eastAsia" w:ascii="黑体" w:hAnsi="黑体" w:eastAsia="黑体" w:cs="黑体"/>
          <w:color w:val="auto"/>
          <w:sz w:val="32"/>
          <w:szCs w:val="32"/>
          <w:highlight w:val="none"/>
          <w:lang w:val="en-US" w:eastAsia="zh-CN"/>
        </w:rPr>
        <w:t xml:space="preserve">第十八条 </w:t>
      </w:r>
      <w:r>
        <w:rPr>
          <w:rFonts w:hint="eastAsia" w:ascii="宋体" w:hAnsi="宋体" w:eastAsia="仿宋_GB2312" w:cs="仿宋_GB2312"/>
          <w:color w:val="auto"/>
          <w:sz w:val="32"/>
          <w:szCs w:val="32"/>
          <w:highlight w:val="none"/>
          <w:lang w:eastAsia="zh-CN"/>
        </w:rPr>
        <w:t>省级</w:t>
      </w:r>
      <w:r>
        <w:rPr>
          <w:rFonts w:hint="eastAsia" w:ascii="宋体" w:hAnsi="宋体" w:eastAsia="仿宋_GB2312" w:cs="仿宋_GB2312"/>
          <w:i w:val="0"/>
          <w:caps w:val="0"/>
          <w:color w:val="auto"/>
          <w:spacing w:val="0"/>
          <w:sz w:val="32"/>
          <w:szCs w:val="32"/>
          <w:highlight w:val="none"/>
          <w:shd w:val="clear"/>
          <w:lang w:val="en-US" w:eastAsia="zh-CN"/>
        </w:rPr>
        <w:t>财政票据管理系统应符合国家网络安全等级保护第三级或以上安全保护要求，须按照国家网络安全等级保护要求开展定级备案、等级测评工作。</w:t>
      </w:r>
    </w:p>
    <w:p>
      <w:pPr>
        <w:widowControl w:val="0"/>
        <w:numPr>
          <w:ilvl w:val="-1"/>
          <w:numId w:val="0"/>
        </w:numPr>
        <w:spacing w:line="588" w:lineRule="exact"/>
        <w:ind w:firstLine="640"/>
        <w:jc w:val="both"/>
        <w:rPr>
          <w:rFonts w:hint="eastAsia" w:ascii="宋体" w:hAnsi="宋体" w:eastAsia="仿宋_GB2312" w:cs="仿宋_GB2312"/>
          <w:i w:val="0"/>
          <w:caps w:val="0"/>
          <w:color w:val="auto"/>
          <w:spacing w:val="0"/>
          <w:sz w:val="32"/>
          <w:szCs w:val="32"/>
          <w:highlight w:val="none"/>
          <w:shd w:val="clear"/>
          <w:lang w:val="en-US" w:eastAsia="zh-CN"/>
        </w:rPr>
      </w:pPr>
      <w:r>
        <w:rPr>
          <w:rFonts w:hint="eastAsia" w:ascii="宋体" w:hAnsi="宋体" w:eastAsia="仿宋_GB2312" w:cs="仿宋_GB2312"/>
          <w:i w:val="0"/>
          <w:caps w:val="0"/>
          <w:color w:val="auto"/>
          <w:spacing w:val="0"/>
          <w:sz w:val="32"/>
          <w:szCs w:val="32"/>
          <w:highlight w:val="none"/>
          <w:shd w:val="clear"/>
          <w:lang w:val="en-US" w:eastAsia="zh-CN"/>
        </w:rPr>
        <w:t>省级财政部门应强化系统身份鉴别、访问控制、安全审计、数据传输及存储完整性和保密性等方面安全防护，每年至少对系统开展一次安全检测评估，落实安全建设整改加固措施，防范网络数据安全风险。</w:t>
      </w:r>
    </w:p>
    <w:p>
      <w:pPr>
        <w:widowControl w:val="0"/>
        <w:numPr>
          <w:ilvl w:val="-1"/>
          <w:numId w:val="0"/>
        </w:numPr>
        <w:spacing w:line="588" w:lineRule="exact"/>
        <w:ind w:firstLine="640"/>
        <w:jc w:val="both"/>
        <w:rPr>
          <w:rFonts w:hint="eastAsia" w:ascii="宋体" w:hAnsi="宋体" w:eastAsia="仿宋_GB2312" w:cs="仿宋_GB2312"/>
          <w:i w:val="0"/>
          <w:caps w:val="0"/>
          <w:color w:val="auto"/>
          <w:spacing w:val="0"/>
          <w:sz w:val="32"/>
          <w:szCs w:val="32"/>
          <w:highlight w:val="none"/>
          <w:shd w:val="clear"/>
          <w:lang w:val="en-US" w:eastAsia="zh-CN"/>
        </w:rPr>
      </w:pPr>
      <w:r>
        <w:rPr>
          <w:rFonts w:hint="eastAsia" w:ascii="黑体" w:hAnsi="黑体" w:eastAsia="黑体" w:cs="黑体"/>
          <w:i w:val="0"/>
          <w:caps w:val="0"/>
          <w:color w:val="auto"/>
          <w:spacing w:val="0"/>
          <w:sz w:val="32"/>
          <w:szCs w:val="32"/>
          <w:highlight w:val="none"/>
          <w:shd w:val="clear"/>
          <w:lang w:val="en-US" w:eastAsia="zh-CN"/>
        </w:rPr>
        <w:t xml:space="preserve">第十九条 </w:t>
      </w:r>
      <w:r>
        <w:rPr>
          <w:rFonts w:hint="eastAsia" w:ascii="宋体" w:hAnsi="宋体" w:eastAsia="仿宋_GB2312" w:cs="仿宋_GB2312"/>
          <w:i w:val="0"/>
          <w:caps w:val="0"/>
          <w:color w:val="auto"/>
          <w:spacing w:val="0"/>
          <w:sz w:val="32"/>
          <w:szCs w:val="32"/>
          <w:highlight w:val="none"/>
          <w:shd w:val="clear"/>
          <w:lang w:val="en-US" w:eastAsia="zh-CN"/>
        </w:rPr>
        <w:t>财政部门应切实加强数字证书的发放、保管、使用等方面监管，防范人为数据泄露风险，确保系统安全。</w:t>
      </w:r>
    </w:p>
    <w:p>
      <w:pPr>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588" w:lineRule="exact"/>
        <w:ind w:left="0" w:leftChars="0" w:firstLine="640" w:firstLineChars="200"/>
        <w:jc w:val="both"/>
        <w:textAlignment w:val="auto"/>
        <w:rPr>
          <w:rFonts w:hint="eastAsia" w:ascii="宋体" w:hAnsi="宋体" w:eastAsia="仿宋_GB2312" w:cs="仿宋_GB2312"/>
          <w:b w:val="0"/>
          <w:bCs w:val="0"/>
          <w:color w:val="auto"/>
          <w:sz w:val="32"/>
          <w:szCs w:val="32"/>
          <w:highlight w:val="none"/>
        </w:rPr>
      </w:pPr>
      <w:r>
        <w:rPr>
          <w:rFonts w:hint="eastAsia" w:ascii="宋体" w:hAnsi="宋体" w:eastAsia="仿宋_GB2312" w:cs="仿宋_GB2312"/>
          <w:b w:val="0"/>
          <w:bCs w:val="0"/>
          <w:color w:val="auto"/>
          <w:sz w:val="32"/>
          <w:szCs w:val="32"/>
          <w:highlight w:val="none"/>
          <w:lang w:eastAsia="zh-CN"/>
        </w:rPr>
        <w:t>开票单位</w:t>
      </w:r>
      <w:r>
        <w:rPr>
          <w:rFonts w:hint="eastAsia" w:ascii="宋体" w:hAnsi="宋体" w:eastAsia="仿宋_GB2312" w:cs="仿宋_GB2312"/>
          <w:b w:val="0"/>
          <w:bCs w:val="0"/>
          <w:color w:val="auto"/>
          <w:sz w:val="32"/>
          <w:szCs w:val="32"/>
          <w:highlight w:val="none"/>
        </w:rPr>
        <w:t>应妥善保管数字证书，不得转让、出借。数字证书遗失的，应当在发现之日起1个工作日内</w:t>
      </w:r>
      <w:r>
        <w:rPr>
          <w:rFonts w:hint="eastAsia" w:ascii="宋体" w:hAnsi="宋体" w:eastAsia="仿宋_GB2312" w:cs="仿宋_GB2312"/>
          <w:b w:val="0"/>
          <w:bCs w:val="0"/>
          <w:color w:val="auto"/>
          <w:sz w:val="32"/>
          <w:szCs w:val="32"/>
          <w:highlight w:val="none"/>
          <w:lang w:eastAsia="zh-CN"/>
        </w:rPr>
        <w:t>，以书面形式</w:t>
      </w:r>
      <w:r>
        <w:rPr>
          <w:rFonts w:hint="eastAsia" w:ascii="宋体" w:hAnsi="宋体" w:eastAsia="仿宋_GB2312" w:cs="仿宋_GB2312"/>
          <w:b w:val="0"/>
          <w:bCs w:val="0"/>
          <w:color w:val="auto"/>
          <w:sz w:val="32"/>
          <w:szCs w:val="32"/>
          <w:highlight w:val="none"/>
        </w:rPr>
        <w:t>向证书核发机构申请冻结使用，并向</w:t>
      </w:r>
      <w:r>
        <w:rPr>
          <w:rFonts w:hint="eastAsia" w:ascii="宋体" w:hAnsi="宋体" w:eastAsia="仿宋_GB2312" w:cs="仿宋_GB2312"/>
          <w:b w:val="0"/>
          <w:bCs w:val="0"/>
          <w:color w:val="auto"/>
          <w:sz w:val="32"/>
          <w:szCs w:val="32"/>
          <w:highlight w:val="none"/>
          <w:lang w:eastAsia="zh-CN"/>
        </w:rPr>
        <w:t>同级</w:t>
      </w:r>
      <w:r>
        <w:rPr>
          <w:rFonts w:hint="eastAsia" w:ascii="宋体" w:hAnsi="宋体" w:eastAsia="仿宋_GB2312" w:cs="仿宋_GB2312"/>
          <w:b w:val="0"/>
          <w:bCs w:val="0"/>
          <w:color w:val="auto"/>
          <w:sz w:val="32"/>
          <w:szCs w:val="32"/>
          <w:highlight w:val="none"/>
        </w:rPr>
        <w:t>财政部门报告。数字证书需变更注销的，应自变动之日起15日内，向</w:t>
      </w:r>
      <w:r>
        <w:rPr>
          <w:rFonts w:hint="eastAsia" w:ascii="宋体" w:hAnsi="宋体" w:eastAsia="仿宋_GB2312" w:cs="仿宋_GB2312"/>
          <w:b w:val="0"/>
          <w:bCs w:val="0"/>
          <w:color w:val="auto"/>
          <w:sz w:val="32"/>
          <w:szCs w:val="32"/>
          <w:highlight w:val="none"/>
          <w:lang w:eastAsia="zh-CN"/>
        </w:rPr>
        <w:t>证书核发机构</w:t>
      </w:r>
      <w:r>
        <w:rPr>
          <w:rFonts w:hint="eastAsia" w:ascii="宋体" w:hAnsi="宋体" w:eastAsia="仿宋_GB2312" w:cs="仿宋_GB2312"/>
          <w:b w:val="0"/>
          <w:bCs w:val="0"/>
          <w:color w:val="auto"/>
          <w:sz w:val="32"/>
          <w:szCs w:val="32"/>
          <w:highlight w:val="none"/>
        </w:rPr>
        <w:t>申请办理变更或者注销手续</w:t>
      </w:r>
      <w:r>
        <w:rPr>
          <w:rFonts w:hint="eastAsia" w:ascii="宋体" w:hAnsi="宋体" w:eastAsia="仿宋_GB2312" w:cs="仿宋_GB2312"/>
          <w:b w:val="0"/>
          <w:bCs w:val="0"/>
          <w:color w:val="auto"/>
          <w:sz w:val="32"/>
          <w:szCs w:val="32"/>
          <w:highlight w:val="none"/>
          <w:lang w:eastAsia="zh-CN"/>
        </w:rPr>
        <w:t>，并向同级财政部门报告</w:t>
      </w:r>
      <w:r>
        <w:rPr>
          <w:rFonts w:hint="eastAsia" w:ascii="宋体" w:hAnsi="宋体" w:eastAsia="仿宋_GB2312" w:cs="仿宋_GB2312"/>
          <w:b w:val="0"/>
          <w:bCs w:val="0"/>
          <w:color w:val="auto"/>
          <w:sz w:val="32"/>
          <w:szCs w:val="32"/>
          <w:highlight w:val="none"/>
        </w:rPr>
        <w:t>。</w:t>
      </w:r>
    </w:p>
    <w:p>
      <w:pPr>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588" w:lineRule="exact"/>
        <w:ind w:left="0" w:leftChars="0" w:firstLine="640" w:firstLineChars="200"/>
        <w:jc w:val="both"/>
        <w:textAlignment w:val="auto"/>
        <w:rPr>
          <w:rFonts w:hint="eastAsia" w:ascii="宋体" w:hAnsi="宋体" w:eastAsia="仿宋_GB2312" w:cs="仿宋_GB2312"/>
          <w:b w:val="0"/>
          <w:bCs w:val="0"/>
          <w:color w:val="auto"/>
          <w:sz w:val="32"/>
          <w:szCs w:val="32"/>
          <w:highlight w:val="none"/>
          <w:lang w:val="en-US" w:eastAsia="zh-CN"/>
        </w:rPr>
      </w:pPr>
      <w:r>
        <w:rPr>
          <w:rFonts w:hint="eastAsia" w:ascii="宋体" w:hAnsi="宋体" w:eastAsia="仿宋_GB2312" w:cs="仿宋_GB2312"/>
          <w:b w:val="0"/>
          <w:bCs w:val="0"/>
          <w:color w:val="auto"/>
          <w:sz w:val="32"/>
          <w:szCs w:val="32"/>
          <w:highlight w:val="none"/>
          <w:lang w:val="en-US" w:eastAsia="zh-CN"/>
        </w:rPr>
        <w:t>因数字证书管理不善、变更注销不及时等原因，出现单位数字签名信息不真实、盗开财政电子票据等问题，由开票单位承担相关责任。</w:t>
      </w:r>
    </w:p>
    <w:p>
      <w:pPr>
        <w:widowControl w:val="0"/>
        <w:numPr>
          <w:ilvl w:val="-1"/>
          <w:numId w:val="0"/>
        </w:numPr>
        <w:spacing w:line="588" w:lineRule="exact"/>
        <w:ind w:firstLine="0"/>
        <w:jc w:val="both"/>
        <w:rPr>
          <w:rFonts w:hint="eastAsia" w:ascii="宋体" w:hAnsi="宋体" w:eastAsia="SimHei" w:cs="SimHei"/>
          <w:i w:val="0"/>
          <w:caps w:val="0"/>
          <w:color w:val="auto"/>
          <w:spacing w:val="0"/>
          <w:sz w:val="32"/>
          <w:szCs w:val="32"/>
          <w:highlight w:val="none"/>
          <w:shd w:val="clear"/>
          <w:lang w:val="en-US" w:eastAsia="zh-CN"/>
        </w:rPr>
      </w:pPr>
    </w:p>
    <w:p>
      <w:pPr>
        <w:widowControl w:val="0"/>
        <w:numPr>
          <w:ilvl w:val="-1"/>
          <w:numId w:val="0"/>
        </w:numPr>
        <w:spacing w:line="588" w:lineRule="exact"/>
        <w:ind w:firstLine="0" w:firstLineChars="0"/>
        <w:jc w:val="center"/>
        <w:rPr>
          <w:rFonts w:hint="default" w:ascii="宋体" w:hAnsi="宋体" w:eastAsia="SimHei" w:cs="SimHei"/>
          <w:i w:val="0"/>
          <w:caps w:val="0"/>
          <w:color w:val="auto"/>
          <w:spacing w:val="0"/>
          <w:sz w:val="32"/>
          <w:szCs w:val="32"/>
          <w:highlight w:val="none"/>
          <w:shd w:val="clear"/>
          <w:lang w:val="en-US" w:eastAsia="zh-CN"/>
        </w:rPr>
      </w:pPr>
      <w:r>
        <w:rPr>
          <w:rFonts w:hint="eastAsia" w:ascii="宋体" w:hAnsi="宋体" w:eastAsia="SimHei" w:cs="SimHei"/>
          <w:i w:val="0"/>
          <w:caps w:val="0"/>
          <w:color w:val="auto"/>
          <w:spacing w:val="0"/>
          <w:sz w:val="32"/>
          <w:szCs w:val="32"/>
          <w:highlight w:val="none"/>
          <w:shd w:val="clear"/>
          <w:lang w:val="en-US" w:eastAsia="zh-CN"/>
        </w:rPr>
        <w:t>第四章 监督检查与法律责任</w:t>
      </w:r>
    </w:p>
    <w:p>
      <w:pPr>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588" w:lineRule="exact"/>
        <w:ind w:leftChars="0" w:firstLine="640" w:firstLineChars="200"/>
        <w:jc w:val="both"/>
        <w:textAlignment w:val="auto"/>
        <w:rPr>
          <w:rFonts w:hint="default" w:ascii="宋体" w:hAnsi="宋体"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第二十条 </w:t>
      </w:r>
      <w:r>
        <w:rPr>
          <w:rFonts w:hint="eastAsia" w:ascii="宋体" w:hAnsi="宋体" w:eastAsia="仿宋_GB2312" w:cs="仿宋_GB2312"/>
          <w:color w:val="auto"/>
          <w:sz w:val="32"/>
          <w:szCs w:val="32"/>
          <w:highlight w:val="none"/>
          <w:lang w:val="en-US" w:eastAsia="zh-CN"/>
        </w:rPr>
        <w:t>财政部门应当依据财政票据监督检查制度，对财政电子票据监制、使用、管理等情况，进行智能化动态监控和开展检查。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8" w:lineRule="exact"/>
        <w:ind w:leftChars="0" w:firstLine="640" w:firstLineChars="200"/>
        <w:jc w:val="both"/>
        <w:textAlignment w:val="auto"/>
        <w:rPr>
          <w:rFonts w:hint="eastAsia" w:ascii="宋体" w:hAnsi="宋体"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第二十一条 </w:t>
      </w:r>
      <w:r>
        <w:rPr>
          <w:rFonts w:hint="eastAsia" w:ascii="宋体" w:hAnsi="宋体" w:eastAsia="仿宋_GB2312" w:cs="仿宋_GB2312"/>
          <w:color w:val="auto"/>
          <w:sz w:val="32"/>
          <w:szCs w:val="32"/>
          <w:highlight w:val="none"/>
          <w:lang w:val="en-US" w:eastAsia="zh-CN"/>
        </w:rPr>
        <w:t>开票单位应当自觉接受财政部门的监督检查，如实反映情况，提供有关资料，不得隐瞒、弄虚作假或者拒绝、阻挠监督检查。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8" w:lineRule="exact"/>
        <w:ind w:leftChars="0" w:firstLine="640"/>
        <w:jc w:val="both"/>
        <w:textAlignment w:val="auto"/>
        <w:rPr>
          <w:rFonts w:hint="default" w:ascii="宋体" w:hAnsi="宋体"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第二十二条</w:t>
      </w:r>
      <w:r>
        <w:rPr>
          <w:rFonts w:hint="eastAsia" w:ascii="宋体" w:hAnsi="宋体" w:eastAsia="仿宋_GB2312" w:cs="仿宋_GB2312"/>
          <w:color w:val="auto"/>
          <w:sz w:val="32"/>
          <w:szCs w:val="32"/>
          <w:highlight w:val="none"/>
          <w:lang w:val="en-US" w:eastAsia="zh-CN"/>
        </w:rPr>
        <w:t xml:space="preserve"> 各级财政部门、开票单位及其工作人员，在财政电子票据工作中，存在滥用职权、玩忽职守、徇私舞弊等违法违规行为的，依法追究相应责任。</w:t>
      </w: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8" w:lineRule="exact"/>
        <w:ind w:leftChars="0"/>
        <w:jc w:val="center"/>
        <w:textAlignment w:val="auto"/>
        <w:rPr>
          <w:rFonts w:hint="eastAsia" w:ascii="宋体" w:hAnsi="宋体" w:eastAsia="SimHei" w:cs="SimHei"/>
          <w:color w:val="auto"/>
          <w:sz w:val="32"/>
          <w:szCs w:val="32"/>
          <w:highlight w:val="none"/>
          <w:lang w:val="en-US" w:eastAsia="zh-CN"/>
        </w:rPr>
      </w:pPr>
      <w:r>
        <w:rPr>
          <w:rFonts w:hint="eastAsia" w:ascii="宋体" w:hAnsi="宋体" w:eastAsia="SimHei" w:cs="SimHei"/>
          <w:color w:val="auto"/>
          <w:sz w:val="32"/>
          <w:szCs w:val="32"/>
          <w:highlight w:val="none"/>
          <w:lang w:val="en-US" w:eastAsia="zh-CN"/>
        </w:rPr>
        <w:t>第五章 附则</w:t>
      </w:r>
    </w:p>
    <w:p>
      <w:pPr>
        <w:keepNext w:val="0"/>
        <w:keepLines w:val="0"/>
        <w:pageBreakBefore w:val="0"/>
        <w:numPr>
          <w:ilvl w:val="0"/>
          <w:numId w:val="0"/>
        </w:numPr>
        <w:kinsoku/>
        <w:wordWrap/>
        <w:overflowPunct/>
        <w:topLinePunct w:val="0"/>
        <w:autoSpaceDE/>
        <w:autoSpaceDN/>
        <w:bidi w:val="0"/>
        <w:adjustRightInd/>
        <w:snapToGrid/>
        <w:spacing w:line="588" w:lineRule="exact"/>
        <w:ind w:firstLine="640" w:firstLineChars="0"/>
        <w:textAlignment w:val="auto"/>
        <w:rPr>
          <w:rFonts w:hint="eastAsia" w:ascii="黑体" w:hAnsi="黑体" w:eastAsia="黑体" w:cs="黑体"/>
          <w:color w:val="auto"/>
          <w:sz w:val="32"/>
          <w:szCs w:val="32"/>
          <w:highlight w:val="none"/>
        </w:rPr>
      </w:pPr>
      <w:r>
        <w:rPr>
          <w:rFonts w:hint="eastAsia" w:ascii="宋体" w:hAnsi="宋体" w:eastAsia="黑体" w:cs="黑体"/>
          <w:i w:val="0"/>
          <w:caps w:val="0"/>
          <w:color w:val="auto"/>
          <w:spacing w:val="0"/>
          <w:sz w:val="32"/>
          <w:szCs w:val="32"/>
          <w:highlight w:val="none"/>
          <w:shd w:val="clear"/>
        </w:rPr>
        <w:t>第</w:t>
      </w:r>
      <w:r>
        <w:rPr>
          <w:rFonts w:hint="eastAsia" w:ascii="宋体" w:hAnsi="宋体" w:eastAsia="黑体" w:cs="黑体"/>
          <w:i w:val="0"/>
          <w:caps w:val="0"/>
          <w:color w:val="auto"/>
          <w:spacing w:val="0"/>
          <w:sz w:val="32"/>
          <w:szCs w:val="32"/>
          <w:highlight w:val="none"/>
          <w:shd w:val="clear"/>
          <w:lang w:eastAsia="zh-CN"/>
        </w:rPr>
        <w:t>二十三</w:t>
      </w:r>
      <w:r>
        <w:rPr>
          <w:rFonts w:hint="eastAsia" w:ascii="宋体" w:hAnsi="宋体" w:eastAsia="黑体" w:cs="黑体"/>
          <w:i w:val="0"/>
          <w:caps w:val="0"/>
          <w:color w:val="auto"/>
          <w:spacing w:val="0"/>
          <w:sz w:val="32"/>
          <w:szCs w:val="32"/>
          <w:highlight w:val="none"/>
          <w:shd w:val="clear"/>
        </w:rPr>
        <w:t>条</w:t>
      </w:r>
      <w:r>
        <w:rPr>
          <w:rFonts w:hint="eastAsia" w:ascii="宋体" w:hAnsi="宋体" w:eastAsia="黑体" w:cs="黑体"/>
          <w:i w:val="0"/>
          <w:caps w:val="0"/>
          <w:color w:val="auto"/>
          <w:spacing w:val="0"/>
          <w:sz w:val="32"/>
          <w:szCs w:val="32"/>
          <w:highlight w:val="none"/>
          <w:shd w:val="clear"/>
          <w:lang w:val="en-US" w:eastAsia="zh-CN"/>
        </w:rPr>
        <w:t xml:space="preserve"> </w:t>
      </w:r>
      <w:r>
        <w:rPr>
          <w:rFonts w:hint="eastAsia" w:ascii="宋体" w:hAnsi="宋体" w:eastAsia="仿宋_GB2312" w:cs="仿宋_GB2312"/>
          <w:i w:val="0"/>
          <w:caps w:val="0"/>
          <w:color w:val="auto"/>
          <w:spacing w:val="0"/>
          <w:sz w:val="32"/>
          <w:szCs w:val="32"/>
          <w:highlight w:val="none"/>
          <w:shd w:val="clear" w:color="auto" w:fill="FFFFFF"/>
        </w:rPr>
        <w:t>中国人民解放军和中国人民武装警察部队</w:t>
      </w:r>
      <w:r>
        <w:rPr>
          <w:rFonts w:hint="eastAsia" w:ascii="宋体" w:hAnsi="宋体" w:eastAsia="仿宋_GB2312" w:cs="仿宋_GB2312"/>
          <w:i w:val="0"/>
          <w:caps w:val="0"/>
          <w:color w:val="auto"/>
          <w:spacing w:val="0"/>
          <w:sz w:val="32"/>
          <w:szCs w:val="32"/>
          <w:highlight w:val="none"/>
          <w:shd w:val="clear" w:color="auto" w:fill="FFFFFF"/>
          <w:lang w:eastAsia="zh-CN"/>
        </w:rPr>
        <w:t>相关办法</w:t>
      </w:r>
      <w:r>
        <w:rPr>
          <w:rFonts w:hint="eastAsia" w:ascii="宋体" w:hAnsi="宋体" w:eastAsia="仿宋_GB2312" w:cs="仿宋_GB2312"/>
          <w:color w:val="auto"/>
          <w:sz w:val="32"/>
          <w:szCs w:val="32"/>
          <w:highlight w:val="none"/>
          <w:lang w:val="en-US" w:eastAsia="zh-CN"/>
        </w:rPr>
        <w:t>另行制定。</w:t>
      </w:r>
    </w:p>
    <w:p>
      <w:pPr>
        <w:keepNext w:val="0"/>
        <w:keepLines w:val="0"/>
        <w:pageBreakBefore w:val="0"/>
        <w:kinsoku/>
        <w:wordWrap/>
        <w:overflowPunct/>
        <w:topLinePunct w:val="0"/>
        <w:autoSpaceDE/>
        <w:autoSpaceDN/>
        <w:bidi w:val="0"/>
        <w:adjustRightInd/>
        <w:snapToGrid/>
        <w:spacing w:line="588" w:lineRule="exact"/>
        <w:ind w:firstLine="640" w:firstLineChars="200"/>
        <w:textAlignment w:val="auto"/>
        <w:rPr>
          <w:rFonts w:hint="eastAsia" w:ascii="宋体" w:hAnsi="宋体"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二十四</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宋体" w:hAnsi="宋体" w:eastAsia="仿宋_GB2312" w:cs="仿宋_GB2312"/>
          <w:color w:val="auto"/>
          <w:sz w:val="32"/>
          <w:szCs w:val="32"/>
          <w:highlight w:val="none"/>
        </w:rPr>
        <w:t>省级财政部门可以依据本办法，结合本地区实际情况制定相应的财政电子票据管理办法，报财政部备案。</w:t>
      </w:r>
    </w:p>
    <w:p>
      <w:pPr>
        <w:numPr>
          <w:ilvl w:val="0"/>
          <w:numId w:val="0"/>
        </w:numPr>
        <w:spacing w:line="588" w:lineRule="exact"/>
        <w:ind w:firstLine="640" w:firstLineChars="200"/>
        <w:rPr>
          <w:rFonts w:hint="default" w:eastAsia="仿宋_GB2312"/>
          <w:lang w:val="en-US" w:eastAsia="zh-CN"/>
        </w:rPr>
      </w:pPr>
      <w:r>
        <w:rPr>
          <w:rFonts w:hint="eastAsia" w:ascii="黑体" w:hAnsi="黑体" w:eastAsia="黑体" w:cs="黑体"/>
          <w:color w:val="auto"/>
          <w:sz w:val="32"/>
          <w:szCs w:val="32"/>
          <w:highlight w:val="none"/>
          <w:lang w:eastAsia="zh-CN"/>
        </w:rPr>
        <w:t>第二十五条</w:t>
      </w:r>
      <w:r>
        <w:rPr>
          <w:rFonts w:hint="eastAsia" w:ascii="宋体" w:hAnsi="宋体" w:eastAsia="仿宋_GB2312" w:cs="仿宋_GB2312"/>
          <w:color w:val="auto"/>
          <w:sz w:val="32"/>
          <w:szCs w:val="32"/>
          <w:highlight w:val="none"/>
          <w:lang w:val="en-US" w:eastAsia="zh-CN"/>
        </w:rPr>
        <w:t xml:space="preserve"> </w:t>
      </w:r>
      <w:r>
        <w:rPr>
          <w:rFonts w:hint="eastAsia" w:ascii="宋体" w:hAnsi="宋体" w:eastAsia="仿宋_GB2312" w:cs="仿宋_GB2312"/>
          <w:color w:val="auto"/>
          <w:sz w:val="32"/>
          <w:szCs w:val="32"/>
          <w:highlight w:val="none"/>
        </w:rPr>
        <w:t>电子非税收入一般缴款书的管理使用按照财政部有关规定执行</w:t>
      </w:r>
      <w:r>
        <w:rPr>
          <w:rFonts w:hint="eastAsia" w:ascii="宋体" w:hAnsi="宋体" w:eastAsia="仿宋_GB2312" w:cs="仿宋_GB2312"/>
          <w:color w:val="auto"/>
          <w:sz w:val="32"/>
          <w:szCs w:val="32"/>
          <w:highlight w:val="none"/>
          <w:lang w:eastAsia="zh-CN"/>
        </w:rPr>
        <w:t>。</w:t>
      </w:r>
    </w:p>
    <w:p>
      <w:pPr>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588" w:lineRule="exact"/>
        <w:ind w:leftChars="0" w:firstLine="640"/>
        <w:jc w:val="both"/>
        <w:textAlignment w:val="auto"/>
        <w:rPr>
          <w:rFonts w:hint="eastAsia" w:ascii="宋体" w:hAnsi="宋体"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二十六</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宋体" w:hAnsi="宋体" w:eastAsia="仿宋_GB2312" w:cs="仿宋_GB2312"/>
          <w:color w:val="auto"/>
          <w:sz w:val="32"/>
          <w:szCs w:val="32"/>
          <w:highlight w:val="none"/>
        </w:rPr>
        <w:t>本办法自</w:t>
      </w:r>
      <w:r>
        <w:rPr>
          <w:rFonts w:hint="eastAsia" w:ascii="宋体" w:hAnsi="宋体" w:eastAsia="仿宋_GB2312" w:cs="仿宋_GB2312"/>
          <w:color w:val="auto"/>
          <w:sz w:val="32"/>
          <w:szCs w:val="32"/>
          <w:highlight w:val="none"/>
          <w:lang w:eastAsia="zh-CN"/>
        </w:rPr>
        <w:t>印发之</w:t>
      </w:r>
      <w:r>
        <w:rPr>
          <w:rFonts w:hint="eastAsia" w:ascii="宋体" w:hAnsi="宋体" w:eastAsia="仿宋_GB2312" w:cs="仿宋_GB2312"/>
          <w:color w:val="auto"/>
          <w:sz w:val="32"/>
          <w:szCs w:val="32"/>
          <w:highlight w:val="none"/>
        </w:rPr>
        <w:t>日起施行。</w:t>
      </w:r>
      <w:bookmarkStart w:id="0" w:name="_Toc477524187"/>
      <w:bookmarkEnd w:id="0"/>
      <w:bookmarkStart w:id="1" w:name="_Toc477524161"/>
      <w:bookmarkEnd w:id="1"/>
      <w:bookmarkStart w:id="2" w:name="_Toc477524120"/>
      <w:bookmarkEnd w:id="2"/>
      <w:bookmarkStart w:id="3" w:name="_Toc477524122"/>
      <w:bookmarkEnd w:id="3"/>
      <w:bookmarkStart w:id="4" w:name="_Toc477524196"/>
      <w:bookmarkEnd w:id="4"/>
      <w:bookmarkStart w:id="5" w:name="_Toc477524189"/>
      <w:bookmarkEnd w:id="5"/>
      <w:bookmarkStart w:id="6" w:name="_Toc477524109"/>
      <w:bookmarkEnd w:id="6"/>
      <w:bookmarkStart w:id="7" w:name="_Toc477524127"/>
      <w:bookmarkEnd w:id="7"/>
      <w:bookmarkStart w:id="8" w:name="_Supervisor监制签名"/>
      <w:bookmarkEnd w:id="8"/>
      <w:bookmarkStart w:id="9" w:name="_Toc477524110"/>
      <w:bookmarkEnd w:id="9"/>
      <w:bookmarkStart w:id="10" w:name="_Toc477524123"/>
      <w:bookmarkEnd w:id="10"/>
      <w:bookmarkStart w:id="11" w:name="_security防伪"/>
      <w:bookmarkEnd w:id="11"/>
      <w:bookmarkStart w:id="12" w:name="_Toc477524179"/>
      <w:bookmarkEnd w:id="12"/>
      <w:bookmarkStart w:id="13" w:name="_单位票据入账"/>
      <w:bookmarkEnd w:id="13"/>
      <w:bookmarkStart w:id="14" w:name="_Toc477524131"/>
      <w:bookmarkEnd w:id="14"/>
      <w:bookmarkStart w:id="15" w:name="_Toc477524117"/>
      <w:bookmarkEnd w:id="15"/>
      <w:bookmarkStart w:id="16" w:name="_Toc477524180"/>
      <w:bookmarkEnd w:id="16"/>
      <w:bookmarkStart w:id="17" w:name="_Toc477524114"/>
      <w:bookmarkEnd w:id="17"/>
      <w:bookmarkStart w:id="18" w:name="_Toc477524186"/>
      <w:bookmarkEnd w:id="18"/>
      <w:bookmarkStart w:id="19" w:name="_Toc477524157"/>
      <w:bookmarkEnd w:id="19"/>
      <w:bookmarkStart w:id="20" w:name="_Toc477524115"/>
      <w:bookmarkEnd w:id="20"/>
      <w:bookmarkStart w:id="21" w:name="_Toc477524178"/>
      <w:bookmarkEnd w:id="21"/>
      <w:bookmarkStart w:id="22" w:name="_Toc477524202"/>
      <w:bookmarkEnd w:id="22"/>
      <w:bookmarkStart w:id="23" w:name="_Toc477524163"/>
      <w:bookmarkEnd w:id="23"/>
      <w:bookmarkStart w:id="24" w:name="_Toc477524162"/>
      <w:bookmarkEnd w:id="24"/>
      <w:bookmarkStart w:id="25" w:name="_Toc477524118"/>
      <w:bookmarkEnd w:id="25"/>
      <w:bookmarkStart w:id="26" w:name="_Toc477524198"/>
      <w:bookmarkEnd w:id="26"/>
      <w:bookmarkStart w:id="27" w:name="_Toc477524126"/>
      <w:bookmarkEnd w:id="27"/>
      <w:bookmarkStart w:id="28" w:name="_组装HTTP请求"/>
      <w:bookmarkEnd w:id="28"/>
      <w:bookmarkStart w:id="29" w:name="_Toc477524111"/>
      <w:bookmarkEnd w:id="29"/>
      <w:bookmarkStart w:id="30" w:name="_电子票据下载"/>
      <w:bookmarkEnd w:id="30"/>
      <w:bookmarkStart w:id="31" w:name="_Toc477524199"/>
      <w:bookmarkEnd w:id="31"/>
      <w:bookmarkStart w:id="32" w:name="_Toc477524160"/>
      <w:bookmarkEnd w:id="32"/>
      <w:bookmarkStart w:id="33" w:name="_Toc477524190"/>
      <w:bookmarkEnd w:id="33"/>
      <w:bookmarkStart w:id="34" w:name="_Toc477524193"/>
      <w:bookmarkEnd w:id="34"/>
      <w:bookmarkStart w:id="35" w:name="_Toc477524116"/>
      <w:bookmarkEnd w:id="35"/>
      <w:bookmarkStart w:id="36" w:name="_Toc477524191"/>
      <w:bookmarkEnd w:id="36"/>
      <w:bookmarkStart w:id="37" w:name="_Toc477524129"/>
      <w:bookmarkEnd w:id="37"/>
      <w:bookmarkStart w:id="38" w:name="_Toc477524185"/>
      <w:bookmarkEnd w:id="38"/>
      <w:bookmarkStart w:id="39" w:name="_Toc477524124"/>
      <w:bookmarkEnd w:id="39"/>
      <w:bookmarkStart w:id="40" w:name="_清单文件"/>
      <w:bookmarkEnd w:id="40"/>
      <w:bookmarkStart w:id="41" w:name="_Toc477524128"/>
      <w:bookmarkEnd w:id="41"/>
      <w:bookmarkStart w:id="42" w:name="_Toc477524119"/>
      <w:bookmarkEnd w:id="42"/>
      <w:bookmarkStart w:id="43" w:name="_Toc477524132"/>
      <w:bookmarkEnd w:id="43"/>
      <w:bookmarkStart w:id="44" w:name="_Toc477524201"/>
      <w:bookmarkEnd w:id="44"/>
      <w:bookmarkStart w:id="45" w:name="_Toc477524104"/>
      <w:bookmarkEnd w:id="45"/>
      <w:bookmarkStart w:id="46" w:name="_附录2：Java防伪算法示例"/>
      <w:bookmarkEnd w:id="46"/>
      <w:bookmarkStart w:id="47" w:name="_Toc477524192"/>
      <w:bookmarkEnd w:id="47"/>
      <w:bookmarkStart w:id="48" w:name="_Toc477524158"/>
      <w:bookmarkEnd w:id="48"/>
      <w:bookmarkStart w:id="49" w:name="_Toc477524112"/>
      <w:bookmarkEnd w:id="49"/>
      <w:bookmarkStart w:id="50" w:name="_Toc477524113"/>
      <w:bookmarkEnd w:id="50"/>
      <w:bookmarkStart w:id="51" w:name="_Toc477524195"/>
      <w:bookmarkEnd w:id="51"/>
      <w:bookmarkStart w:id="52" w:name="_Toc477524159"/>
      <w:bookmarkEnd w:id="52"/>
      <w:bookmarkStart w:id="53" w:name="_Toc477524105"/>
      <w:bookmarkEnd w:id="53"/>
      <w:bookmarkStart w:id="54" w:name="_Toc477524121"/>
      <w:bookmarkEnd w:id="54"/>
      <w:bookmarkStart w:id="55" w:name="_Toc477524177"/>
      <w:bookmarkEnd w:id="55"/>
      <w:bookmarkStart w:id="56" w:name="_Toc477524203"/>
      <w:bookmarkEnd w:id="56"/>
      <w:bookmarkStart w:id="57" w:name="_Toc477524130"/>
      <w:bookmarkEnd w:id="57"/>
      <w:bookmarkStart w:id="58" w:name="_Toc477524184"/>
      <w:bookmarkEnd w:id="58"/>
      <w:bookmarkStart w:id="59" w:name="_Toc477524197"/>
      <w:bookmarkEnd w:id="59"/>
      <w:bookmarkStart w:id="60" w:name="_Toc477524108"/>
      <w:bookmarkEnd w:id="60"/>
      <w:bookmarkStart w:id="61" w:name="_Toc477524200"/>
      <w:bookmarkEnd w:id="61"/>
      <w:bookmarkStart w:id="62" w:name="_Toc477524188"/>
      <w:bookmarkEnd w:id="62"/>
      <w:bookmarkStart w:id="63" w:name="_Toc477524194"/>
      <w:bookmarkEnd w:id="63"/>
      <w:bookmarkStart w:id="64" w:name="_Toc477524125"/>
      <w:bookmarkEnd w:id="64"/>
      <w:bookmarkStart w:id="65" w:name="_附录1：返回码一览表"/>
      <w:bookmarkEnd w:id="65"/>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FangSong">
    <w:altName w:val="方正仿宋_GBK"/>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alibri Light">
    <w:altName w:val="DejaVu Sans"/>
    <w:panose1 w:val="020F0302020204030204"/>
    <w:charset w:val="00"/>
    <w:family w:val="swiss"/>
    <w:pitch w:val="default"/>
    <w:sig w:usb0="00000000" w:usb1="00000000"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FZXiaoBiaoSong-B05S">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SimHei">
    <w:panose1 w:val="02010609060101010101"/>
    <w:charset w:val="86"/>
    <w:family w:val="auto"/>
    <w:pitch w:val="default"/>
    <w:sig w:usb0="800002BF" w:usb1="38CF7CFA" w:usb2="00000016" w:usb3="00000000" w:csb0="00040001" w:csb1="00000000"/>
  </w:font>
  <w:font w:name="FZFangSong-Z02S">
    <w:altName w:val="Noto Serif CJK JP"/>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Noto Serif CJK JP">
    <w:panose1 w:val="02020400000000000000"/>
    <w:charset w:val="86"/>
    <w:family w:val="auto"/>
    <w:pitch w:val="default"/>
    <w:sig w:usb0="3000008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1</w:t>
                          </w:r>
                          <w:r>
                            <w:rPr>
                              <w:rFonts w:ascii="Times New Roman" w:hAnsi="Times New Roman" w:cs="Times New Roman"/>
                              <w:sz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9"/>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1</w:t>
                    </w:r>
                    <w:r>
                      <w:rPr>
                        <w:rFonts w:ascii="Times New Roman" w:hAnsi="Times New Roman" w:cs="Times New Roman"/>
                        <w:sz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3FE196"/>
    <w:multiLevelType w:val="singleLevel"/>
    <w:tmpl w:val="913FE196"/>
    <w:lvl w:ilvl="0" w:tentative="0">
      <w:start w:val="1"/>
      <w:numFmt w:val="chineseCounting"/>
      <w:suff w:val="space"/>
      <w:lvlText w:val="第%1章"/>
      <w:lvlJc w:val="left"/>
      <w:rPr>
        <w:rFonts w:hint="eastAsia" w:ascii="SimHei" w:hAnsi="SimHei" w:eastAsia="SimHei" w:cs="SimHei"/>
      </w:rPr>
    </w:lvl>
  </w:abstractNum>
  <w:abstractNum w:abstractNumId="1">
    <w:nsid w:val="2A8B1B5E"/>
    <w:multiLevelType w:val="singleLevel"/>
    <w:tmpl w:val="2A8B1B5E"/>
    <w:lvl w:ilvl="0" w:tentative="0">
      <w:start w:val="1"/>
      <w:numFmt w:val="chineseCounting"/>
      <w:suff w:val="space"/>
      <w:lvlText w:val="第%1条"/>
      <w:lvlJc w:val="left"/>
      <w:rPr>
        <w:rFonts w:hint="eastAsia" w:ascii="黑体" w:hAnsi="黑体" w:eastAsia="黑体" w:cs="黑体"/>
      </w:rPr>
    </w:lvl>
  </w:abstractNum>
  <w:abstractNum w:abstractNumId="2">
    <w:nsid w:val="34B83E06"/>
    <w:multiLevelType w:val="multilevel"/>
    <w:tmpl w:val="34B83E06"/>
    <w:lvl w:ilvl="0" w:tentative="0">
      <w:start w:val="1"/>
      <w:numFmt w:val="decimal"/>
      <w:pStyle w:val="4"/>
      <w:lvlText w:val="%1"/>
      <w:lvlJc w:val="left"/>
      <w:pPr>
        <w:ind w:left="432" w:hanging="432"/>
      </w:pPr>
    </w:lvl>
    <w:lvl w:ilvl="1" w:tentative="0">
      <w:start w:val="1"/>
      <w:numFmt w:val="decimal"/>
      <w:pStyle w:val="5"/>
      <w:lvlText w:val="%1.%2"/>
      <w:lvlJc w:val="left"/>
      <w:pPr>
        <w:ind w:left="576" w:hanging="576"/>
      </w:pPr>
    </w:lvl>
    <w:lvl w:ilvl="2" w:tentative="0">
      <w:start w:val="1"/>
      <w:numFmt w:val="decimal"/>
      <w:lvlText w:val="%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3">
    <w:nsid w:val="75383EB4"/>
    <w:multiLevelType w:val="multilevel"/>
    <w:tmpl w:val="75383EB4"/>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pStyle w:val="6"/>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dit="readOnly"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ZmMxYWNjZDE2MzM1NGVkYjQ5NWVkNzg2MjhiNzYifQ=="/>
  </w:docVars>
  <w:rsids>
    <w:rsidRoot w:val="00000000"/>
    <w:rsid w:val="06A36571"/>
    <w:rsid w:val="082C5DA2"/>
    <w:rsid w:val="13452D61"/>
    <w:rsid w:val="1377608B"/>
    <w:rsid w:val="1AC9CEC8"/>
    <w:rsid w:val="25140E1F"/>
    <w:rsid w:val="29CD3306"/>
    <w:rsid w:val="2BF3C795"/>
    <w:rsid w:val="30542A7D"/>
    <w:rsid w:val="35042848"/>
    <w:rsid w:val="35EDC375"/>
    <w:rsid w:val="37EAD143"/>
    <w:rsid w:val="3C499190"/>
    <w:rsid w:val="3DE7F900"/>
    <w:rsid w:val="3DF7FC87"/>
    <w:rsid w:val="3F664842"/>
    <w:rsid w:val="3F7FBD91"/>
    <w:rsid w:val="3FAF6CC1"/>
    <w:rsid w:val="418530D3"/>
    <w:rsid w:val="45BED83B"/>
    <w:rsid w:val="46296270"/>
    <w:rsid w:val="47FF4852"/>
    <w:rsid w:val="4B512708"/>
    <w:rsid w:val="4F6B3105"/>
    <w:rsid w:val="4FDEEFBE"/>
    <w:rsid w:val="577FBF90"/>
    <w:rsid w:val="57FC76C8"/>
    <w:rsid w:val="58165EF6"/>
    <w:rsid w:val="59C993A2"/>
    <w:rsid w:val="5DF26386"/>
    <w:rsid w:val="5EFF4A6F"/>
    <w:rsid w:val="5F7B0F22"/>
    <w:rsid w:val="5FEBD779"/>
    <w:rsid w:val="61FB5947"/>
    <w:rsid w:val="62FFFC48"/>
    <w:rsid w:val="65FCFB22"/>
    <w:rsid w:val="66673496"/>
    <w:rsid w:val="67FF126F"/>
    <w:rsid w:val="689B5E1F"/>
    <w:rsid w:val="6D7F3923"/>
    <w:rsid w:val="6DBB6ABA"/>
    <w:rsid w:val="6DC991AB"/>
    <w:rsid w:val="6DD3645F"/>
    <w:rsid w:val="6F77F997"/>
    <w:rsid w:val="6FDF51F3"/>
    <w:rsid w:val="6FFBF0AD"/>
    <w:rsid w:val="73E92FFE"/>
    <w:rsid w:val="73F7A110"/>
    <w:rsid w:val="7464EC67"/>
    <w:rsid w:val="749DB220"/>
    <w:rsid w:val="76FC1A7D"/>
    <w:rsid w:val="77EF38BB"/>
    <w:rsid w:val="79BF250D"/>
    <w:rsid w:val="7A0D2DCB"/>
    <w:rsid w:val="7A6F3373"/>
    <w:rsid w:val="7AB5740F"/>
    <w:rsid w:val="7BDD3E23"/>
    <w:rsid w:val="7BDF1BB0"/>
    <w:rsid w:val="7C57394C"/>
    <w:rsid w:val="7C7F3A41"/>
    <w:rsid w:val="7CDF12E0"/>
    <w:rsid w:val="7D77525C"/>
    <w:rsid w:val="7DEFB0FF"/>
    <w:rsid w:val="7DFF88FC"/>
    <w:rsid w:val="7E3B4868"/>
    <w:rsid w:val="7E8A14F6"/>
    <w:rsid w:val="7EB9C277"/>
    <w:rsid w:val="7F5E9DEB"/>
    <w:rsid w:val="7FC9680B"/>
    <w:rsid w:val="7FCF4D05"/>
    <w:rsid w:val="7FDE4611"/>
    <w:rsid w:val="7FDE74D3"/>
    <w:rsid w:val="7FE5E284"/>
    <w:rsid w:val="7FE744FD"/>
    <w:rsid w:val="7FF30EF8"/>
    <w:rsid w:val="7FFA7856"/>
    <w:rsid w:val="7FFC522F"/>
    <w:rsid w:val="7FFE8867"/>
    <w:rsid w:val="95653F47"/>
    <w:rsid w:val="96DCD9BA"/>
    <w:rsid w:val="9DBFAD85"/>
    <w:rsid w:val="9DDDE765"/>
    <w:rsid w:val="B6954EF1"/>
    <w:rsid w:val="B69D0989"/>
    <w:rsid w:val="B73DB130"/>
    <w:rsid w:val="BDFBC926"/>
    <w:rsid w:val="BF73853D"/>
    <w:rsid w:val="BF958ADA"/>
    <w:rsid w:val="BFB9920D"/>
    <w:rsid w:val="BFD050D5"/>
    <w:rsid w:val="BFEEF28D"/>
    <w:rsid w:val="BFF29DBC"/>
    <w:rsid w:val="BFF66331"/>
    <w:rsid w:val="C5C6F6D5"/>
    <w:rsid w:val="C5FE5F41"/>
    <w:rsid w:val="C75F8240"/>
    <w:rsid w:val="CDBDF93F"/>
    <w:rsid w:val="CDFE0713"/>
    <w:rsid w:val="CFDF0A1E"/>
    <w:rsid w:val="D4FF9FFA"/>
    <w:rsid w:val="D7E76850"/>
    <w:rsid w:val="D93DC5DB"/>
    <w:rsid w:val="DCAFC705"/>
    <w:rsid w:val="DCFFCA5B"/>
    <w:rsid w:val="DD6EB33F"/>
    <w:rsid w:val="DDDBDF9F"/>
    <w:rsid w:val="DF799E5D"/>
    <w:rsid w:val="DF9CE528"/>
    <w:rsid w:val="DFBFE0B7"/>
    <w:rsid w:val="DFDF504A"/>
    <w:rsid w:val="DFDFF45F"/>
    <w:rsid w:val="DFF7AECC"/>
    <w:rsid w:val="E13FFCA0"/>
    <w:rsid w:val="E5FFF5C3"/>
    <w:rsid w:val="E7E7D9CD"/>
    <w:rsid w:val="EAF71FE9"/>
    <w:rsid w:val="EB6B567B"/>
    <w:rsid w:val="EBBFC63C"/>
    <w:rsid w:val="ECDEADD7"/>
    <w:rsid w:val="EDF8ACC9"/>
    <w:rsid w:val="EDF9F3AC"/>
    <w:rsid w:val="EDFFDFE9"/>
    <w:rsid w:val="EFC746FD"/>
    <w:rsid w:val="EFCB40FD"/>
    <w:rsid w:val="EFF66822"/>
    <w:rsid w:val="EFFA4041"/>
    <w:rsid w:val="EFFF6C93"/>
    <w:rsid w:val="F26EFAA3"/>
    <w:rsid w:val="F37F9AE4"/>
    <w:rsid w:val="F3FF4442"/>
    <w:rsid w:val="F54A8C59"/>
    <w:rsid w:val="F6BF3D31"/>
    <w:rsid w:val="F767D9ED"/>
    <w:rsid w:val="F79D3F87"/>
    <w:rsid w:val="F79FC106"/>
    <w:rsid w:val="F7BB9450"/>
    <w:rsid w:val="F7FFE7BD"/>
    <w:rsid w:val="F87AF1F1"/>
    <w:rsid w:val="F8FDB9C6"/>
    <w:rsid w:val="F99DF43D"/>
    <w:rsid w:val="F9CDDE09"/>
    <w:rsid w:val="FB7E2965"/>
    <w:rsid w:val="FBBBA634"/>
    <w:rsid w:val="FBBF4833"/>
    <w:rsid w:val="FBFD55D3"/>
    <w:rsid w:val="FBFFC67C"/>
    <w:rsid w:val="FBFFEA41"/>
    <w:rsid w:val="FC799F37"/>
    <w:rsid w:val="FCBF64DE"/>
    <w:rsid w:val="FD4E35D8"/>
    <w:rsid w:val="FDBA90B9"/>
    <w:rsid w:val="FDD6F397"/>
    <w:rsid w:val="FDE536B3"/>
    <w:rsid w:val="FDFE0474"/>
    <w:rsid w:val="FE8E1227"/>
    <w:rsid w:val="FEE92A8C"/>
    <w:rsid w:val="FEFD8A85"/>
    <w:rsid w:val="FEFD94B4"/>
    <w:rsid w:val="FEFDFC60"/>
    <w:rsid w:val="FF3F0064"/>
    <w:rsid w:val="FF69AAF8"/>
    <w:rsid w:val="FF77112C"/>
    <w:rsid w:val="FFA2D962"/>
    <w:rsid w:val="FFAF14BD"/>
    <w:rsid w:val="FFB731FA"/>
    <w:rsid w:val="FFBEC3BF"/>
    <w:rsid w:val="FFBEF8C8"/>
    <w:rsid w:val="FFDC002B"/>
    <w:rsid w:val="FFDD4902"/>
    <w:rsid w:val="FFEB07AF"/>
    <w:rsid w:val="FFF7FC10"/>
    <w:rsid w:val="FFFB9935"/>
    <w:rsid w:val="FFFC9D22"/>
    <w:rsid w:val="FFFF7D9B"/>
    <w:rsid w:val="FFFF9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
    <w:pPr>
      <w:keepNext/>
      <w:keepLines/>
      <w:numPr>
        <w:ilvl w:val="0"/>
        <w:numId w:val="1"/>
      </w:numPr>
      <w:spacing w:before="340" w:after="330" w:line="360" w:lineRule="auto"/>
      <w:jc w:val="left"/>
      <w:outlineLvl w:val="0"/>
    </w:pPr>
    <w:rPr>
      <w:rFonts w:ascii="FangSong" w:hAnsi="FangSong" w:eastAsia="FangSong"/>
      <w:bCs/>
      <w:color w:val="000000" w:themeColor="text1"/>
      <w:kern w:val="44"/>
      <w:sz w:val="28"/>
      <w:szCs w:val="30"/>
      <w14:textFill>
        <w14:solidFill>
          <w14:schemeClr w14:val="tx1"/>
        </w14:solidFill>
      </w14:textFill>
    </w:rPr>
  </w:style>
  <w:style w:type="paragraph" w:styleId="5">
    <w:name w:val="heading 2"/>
    <w:basedOn w:val="1"/>
    <w:next w:val="1"/>
    <w:qFormat/>
    <w:uiPriority w:val="9"/>
    <w:pPr>
      <w:keepNext/>
      <w:keepLines/>
      <w:numPr>
        <w:ilvl w:val="1"/>
        <w:numId w:val="1"/>
      </w:numPr>
      <w:spacing w:before="260" w:after="260" w:line="416" w:lineRule="auto"/>
      <w:outlineLvl w:val="1"/>
    </w:pPr>
    <w:rPr>
      <w:rFonts w:hAnsi="宋体" w:eastAsia="FangSong"/>
      <w:bCs/>
      <w:kern w:val="44"/>
      <w:sz w:val="32"/>
      <w:szCs w:val="32"/>
    </w:rPr>
  </w:style>
  <w:style w:type="paragraph" w:styleId="6">
    <w:name w:val="heading 3"/>
    <w:basedOn w:val="1"/>
    <w:next w:val="1"/>
    <w:unhideWhenUsed/>
    <w:qFormat/>
    <w:uiPriority w:val="9"/>
    <w:pPr>
      <w:keepNext/>
      <w:keepLines/>
      <w:numPr>
        <w:ilvl w:val="2"/>
        <w:numId w:val="2"/>
      </w:numPr>
      <w:spacing w:before="260" w:after="260" w:line="415" w:lineRule="auto"/>
      <w:outlineLvl w:val="2"/>
    </w:pPr>
    <w:rPr>
      <w:rFonts w:eastAsia="FangSong"/>
      <w:b/>
      <w:bCs/>
      <w:sz w:val="28"/>
      <w:szCs w:val="32"/>
    </w:rPr>
  </w:style>
  <w:style w:type="paragraph" w:styleId="7">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仿宋_GB2312" w:hAnsi="Times New Roman" w:eastAsia="仿宋_GB2312"/>
      <w:sz w:val="28"/>
      <w:szCs w:val="20"/>
    </w:rPr>
  </w:style>
  <w:style w:type="paragraph" w:styleId="3">
    <w:name w:val="Title"/>
    <w:basedOn w:val="1"/>
    <w:next w:val="1"/>
    <w:qFormat/>
    <w:uiPriority w:val="10"/>
    <w:pPr>
      <w:keepLines/>
      <w:widowControl w:val="0"/>
      <w:adjustRightInd w:val="0"/>
      <w:snapToGrid w:val="0"/>
      <w:spacing w:line="596" w:lineRule="exact"/>
      <w:jc w:val="center"/>
      <w:outlineLvl w:val="0"/>
    </w:pPr>
    <w:rPr>
      <w:rFonts w:ascii="Times New Roman" w:hAnsi="Times New Roman" w:eastAsia="华文中宋"/>
      <w:b/>
      <w:bCs/>
      <w:kern w:val="2"/>
      <w:sz w:val="42"/>
      <w:szCs w:val="32"/>
      <w:lang w:val="en-US" w:eastAsia="zh-CN" w:bidi="ar-SA"/>
    </w:rPr>
  </w:style>
  <w:style w:type="paragraph" w:styleId="8">
    <w:name w:val="annotation text"/>
    <w:basedOn w:val="1"/>
    <w:qFormat/>
    <w:uiPriority w:val="0"/>
    <w:pPr>
      <w:jc w:val="left"/>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Subtitle"/>
    <w:basedOn w:val="1"/>
    <w:next w:val="1"/>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HTML Code"/>
    <w:basedOn w:val="15"/>
    <w:semiHidden/>
    <w:unhideWhenUsed/>
    <w:qFormat/>
    <w:uiPriority w:val="99"/>
    <w:rPr>
      <w:rFonts w:ascii="宋体" w:hAnsi="宋体" w:eastAsia="宋体" w:cs="宋体"/>
      <w:sz w:val="24"/>
      <w:szCs w:val="24"/>
    </w:rPr>
  </w:style>
  <w:style w:type="paragraph" w:styleId="18">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4053</Words>
  <Characters>4061</Characters>
  <Lines>0</Lines>
  <Paragraphs>0</Paragraphs>
  <TotalTime>3</TotalTime>
  <ScaleCrop>false</ScaleCrop>
  <LinksUpToDate>false</LinksUpToDate>
  <CharactersWithSpaces>4145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2024-06-09T09:01:00Z</dcterms:created>
  <dc:creator>Administrator</dc:creator>
  <cp:lastModifiedBy>Admin</cp:lastModifiedBy>
  <cp:lastPrinted>2025-01-08T22:36:00Z</cp:lastPrinted>
  <dcterms:modified xsi:type="dcterms:W3CDTF">2025-01-17T11:16:31Z</dcterms:modified>
  <dc:title>财政电子票据管理办法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F67177E92B0E41B1A1BA1B97FBBE0134_13</vt:lpwstr>
  </property>
</Properties>
</file>